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7017F5F">
      <w:pPr>
        <w:adjustRightInd w:val="0"/>
        <w:spacing w:before="120" w:beforeLines="50" w:after="120" w:line="480" w:lineRule="auto"/>
        <w:ind w:left="0" w:right="-65" w:rightChars="-27" w:firstLine="0"/>
        <w:jc w:val="both"/>
        <w:rPr>
          <w:b/>
          <w:spacing w:val="-4"/>
          <w:sz w:val="52"/>
          <w:szCs w:val="52"/>
        </w:rPr>
      </w:pPr>
      <w:bookmarkStart w:id="3692" w:name="_GoBack"/>
      <w:bookmarkEnd w:id="3692"/>
    </w:p>
    <w:p w14:paraId="7AA07D23">
      <w:pPr>
        <w:adjustRightInd w:val="0"/>
        <w:spacing w:before="120" w:beforeLines="50" w:after="120" w:line="480" w:lineRule="auto"/>
        <w:ind w:left="0" w:right="-65" w:rightChars="-27" w:firstLine="0"/>
        <w:jc w:val="both"/>
        <w:rPr>
          <w:b/>
          <w:spacing w:val="-4"/>
          <w:sz w:val="52"/>
          <w:szCs w:val="52"/>
        </w:rPr>
      </w:pPr>
    </w:p>
    <w:p w14:paraId="6F1BF3E7">
      <w:pPr>
        <w:spacing w:before="120" w:beforeLines="50"/>
        <w:ind w:left="0" w:right="-65" w:rightChars="-27" w:firstLine="0"/>
        <w:jc w:val="center"/>
        <w:rPr>
          <w:rFonts w:eastAsia="黑体"/>
          <w:sz w:val="84"/>
          <w:szCs w:val="84"/>
        </w:rPr>
      </w:pPr>
      <w:r>
        <w:rPr>
          <w:rFonts w:hint="eastAsia" w:eastAsia="黑体"/>
          <w:sz w:val="84"/>
          <w:szCs w:val="84"/>
        </w:rPr>
        <w:t>招标文件</w:t>
      </w:r>
    </w:p>
    <w:p w14:paraId="3801A4D5">
      <w:pPr>
        <w:adjustRightInd w:val="0"/>
        <w:spacing w:before="120" w:beforeLines="50" w:after="120" w:line="480" w:lineRule="auto"/>
        <w:ind w:left="0" w:right="-65" w:rightChars="-27" w:firstLine="0"/>
        <w:jc w:val="center"/>
        <w:rPr>
          <w:rFonts w:eastAsia="黑体"/>
          <w:bCs/>
          <w:spacing w:val="-4"/>
          <w:sz w:val="52"/>
          <w:szCs w:val="52"/>
        </w:rPr>
      </w:pPr>
      <w:bookmarkStart w:id="0" w:name="_Toc536355285"/>
      <w:r>
        <w:rPr>
          <w:rFonts w:hint="eastAsia" w:eastAsia="黑体"/>
          <w:bCs/>
          <w:spacing w:val="-4"/>
          <w:sz w:val="52"/>
          <w:szCs w:val="52"/>
        </w:rPr>
        <w:t>第五章</w:t>
      </w:r>
      <w:r>
        <w:rPr>
          <w:rFonts w:eastAsia="黑体"/>
          <w:bCs/>
          <w:spacing w:val="-4"/>
          <w:sz w:val="52"/>
          <w:szCs w:val="52"/>
        </w:rPr>
        <w:t xml:space="preserve">  </w:t>
      </w:r>
      <w:r>
        <w:rPr>
          <w:rFonts w:hint="eastAsia" w:eastAsia="黑体"/>
          <w:bCs/>
          <w:spacing w:val="-4"/>
          <w:sz w:val="52"/>
          <w:szCs w:val="52"/>
        </w:rPr>
        <w:t>用户需求书</w:t>
      </w:r>
      <w:bookmarkEnd w:id="0"/>
    </w:p>
    <w:p w14:paraId="2CF78E5A">
      <w:pPr>
        <w:adjustRightInd w:val="0"/>
        <w:spacing w:before="120" w:beforeLines="50" w:after="120" w:line="480" w:lineRule="auto"/>
        <w:ind w:left="709" w:right="-65" w:rightChars="-27" w:firstLine="0"/>
        <w:jc w:val="both"/>
        <w:rPr>
          <w:b/>
          <w:spacing w:val="-4"/>
          <w:sz w:val="52"/>
          <w:szCs w:val="52"/>
        </w:rPr>
      </w:pPr>
    </w:p>
    <w:p w14:paraId="274CF41C">
      <w:pPr>
        <w:adjustRightInd w:val="0"/>
        <w:spacing w:before="120" w:beforeLines="50" w:after="120" w:line="480" w:lineRule="auto"/>
        <w:ind w:left="709" w:right="-65" w:rightChars="-27" w:firstLine="0"/>
        <w:jc w:val="both"/>
        <w:rPr>
          <w:sz w:val="21"/>
        </w:rPr>
      </w:pPr>
    </w:p>
    <w:p w14:paraId="267F3072">
      <w:pPr>
        <w:ind w:left="991" w:leftChars="413" w:right="-65" w:rightChars="-27" w:firstLine="0"/>
        <w:jc w:val="both"/>
        <w:rPr>
          <w:b/>
          <w:sz w:val="32"/>
          <w:szCs w:val="32"/>
        </w:rPr>
      </w:pPr>
      <w:r>
        <w:rPr>
          <w:rFonts w:hint="eastAsia"/>
          <w:b/>
          <w:sz w:val="32"/>
          <w:szCs w:val="32"/>
        </w:rPr>
        <w:t>招标编号：ZHGX-2024-061</w:t>
      </w:r>
    </w:p>
    <w:p w14:paraId="35445802">
      <w:pPr>
        <w:ind w:left="991" w:leftChars="413" w:right="-65" w:rightChars="-27" w:firstLine="0"/>
        <w:jc w:val="both"/>
        <w:rPr>
          <w:b/>
          <w:sz w:val="32"/>
          <w:szCs w:val="32"/>
        </w:rPr>
      </w:pPr>
      <w:r>
        <w:rPr>
          <w:rFonts w:hint="eastAsia"/>
          <w:b/>
          <w:sz w:val="32"/>
          <w:szCs w:val="32"/>
        </w:rPr>
        <w:t>招</w:t>
      </w:r>
      <w:r>
        <w:rPr>
          <w:b/>
          <w:sz w:val="32"/>
          <w:szCs w:val="32"/>
        </w:rPr>
        <w:t xml:space="preserve"> </w:t>
      </w:r>
      <w:r>
        <w:rPr>
          <w:rFonts w:hint="eastAsia"/>
          <w:b/>
          <w:sz w:val="32"/>
          <w:szCs w:val="32"/>
        </w:rPr>
        <w:t>标</w:t>
      </w:r>
      <w:r>
        <w:rPr>
          <w:b/>
          <w:sz w:val="32"/>
          <w:szCs w:val="32"/>
        </w:rPr>
        <w:t xml:space="preserve"> </w:t>
      </w:r>
      <w:r>
        <w:rPr>
          <w:rFonts w:hint="eastAsia"/>
          <w:b/>
          <w:sz w:val="32"/>
          <w:szCs w:val="32"/>
        </w:rPr>
        <w:t>人：南宁轨道数智科技有限公司</w:t>
      </w:r>
    </w:p>
    <w:p w14:paraId="1AAEB76A">
      <w:pPr>
        <w:ind w:left="991" w:leftChars="413" w:right="-65" w:rightChars="-27" w:firstLine="0"/>
        <w:jc w:val="both"/>
        <w:rPr>
          <w:b/>
          <w:sz w:val="32"/>
          <w:szCs w:val="32"/>
        </w:rPr>
      </w:pPr>
      <w:r>
        <w:rPr>
          <w:rFonts w:hint="eastAsia"/>
          <w:b/>
          <w:sz w:val="32"/>
          <w:szCs w:val="32"/>
        </w:rPr>
        <w:t>招标代理机构：上海正弘建设工程顾问有限公司</w:t>
      </w:r>
    </w:p>
    <w:p w14:paraId="1957F3EB">
      <w:pPr>
        <w:spacing w:before="120" w:beforeLines="50"/>
        <w:ind w:left="0" w:right="-65" w:rightChars="-27" w:firstLine="0"/>
        <w:jc w:val="center"/>
        <w:rPr>
          <w:sz w:val="30"/>
          <w:szCs w:val="24"/>
        </w:rPr>
      </w:pPr>
    </w:p>
    <w:p w14:paraId="7DF22F3F">
      <w:pPr>
        <w:spacing w:before="120" w:beforeLines="50"/>
        <w:ind w:left="0" w:right="-65" w:rightChars="-27" w:firstLine="0"/>
        <w:jc w:val="center"/>
        <w:rPr>
          <w:sz w:val="21"/>
          <w:szCs w:val="24"/>
        </w:rPr>
      </w:pPr>
      <w:r>
        <w:rPr>
          <w:rFonts w:hint="eastAsia"/>
          <w:b/>
          <w:bCs/>
          <w:sz w:val="36"/>
          <w:szCs w:val="36"/>
        </w:rPr>
        <w:t>二○二四年</w:t>
      </w:r>
      <w:r>
        <w:rPr>
          <w:rFonts w:hint="eastAsia"/>
          <w:b/>
          <w:bCs/>
          <w:sz w:val="36"/>
          <w:szCs w:val="36"/>
          <w:lang w:eastAsia="zh-CN"/>
        </w:rPr>
        <w:t>九</w:t>
      </w:r>
      <w:r>
        <w:rPr>
          <w:rFonts w:hint="eastAsia"/>
          <w:b/>
          <w:bCs/>
          <w:sz w:val="36"/>
          <w:szCs w:val="36"/>
        </w:rPr>
        <w:t>月</w:t>
      </w:r>
      <w:r>
        <w:rPr>
          <w:rFonts w:eastAsia="黑体"/>
          <w:sz w:val="36"/>
          <w:szCs w:val="48"/>
        </w:rPr>
        <w:t xml:space="preserve"> </w:t>
      </w:r>
    </w:p>
    <w:p w14:paraId="33148779">
      <w:pPr>
        <w:pStyle w:val="406"/>
        <w:tabs>
          <w:tab w:val="left" w:pos="960"/>
          <w:tab w:val="right" w:leader="dot" w:pos="8302"/>
        </w:tabs>
        <w:ind w:left="0" w:hanging="227"/>
        <w:jc w:val="center"/>
        <w:rPr>
          <w:sz w:val="21"/>
          <w:szCs w:val="21"/>
        </w:rPr>
      </w:pPr>
      <w:r>
        <w:rPr>
          <w:b w:val="0"/>
          <w:spacing w:val="6"/>
          <w:kern w:val="0"/>
          <w:sz w:val="36"/>
        </w:rPr>
        <w:br w:type="page"/>
      </w:r>
      <w:bookmarkStart w:id="1" w:name="_Toc222347145"/>
      <w:bookmarkStart w:id="2" w:name="_Toc222346781"/>
      <w:bookmarkStart w:id="3" w:name="_Toc222347485"/>
      <w:bookmarkStart w:id="4" w:name="_Toc222347315"/>
      <w:bookmarkStart w:id="5" w:name="_Toc222347655"/>
      <w:bookmarkStart w:id="6" w:name="_Toc222346884"/>
      <w:bookmarkStart w:id="7" w:name="_Toc127815687"/>
      <w:r>
        <w:rPr>
          <w:sz w:val="21"/>
          <w:szCs w:val="21"/>
        </w:rPr>
        <w:t>目录</w:t>
      </w:r>
    </w:p>
    <w:p w14:paraId="479A5994">
      <w:pPr>
        <w:pStyle w:val="59"/>
        <w:tabs>
          <w:tab w:val="right" w:leader="dot" w:pos="9070"/>
        </w:tabs>
      </w:pPr>
      <w:r>
        <w:rPr>
          <w:rStyle w:val="98"/>
          <w:color w:val="auto"/>
          <w:sz w:val="21"/>
        </w:rPr>
        <w:fldChar w:fldCharType="begin"/>
      </w:r>
      <w:r>
        <w:rPr>
          <w:rStyle w:val="98"/>
          <w:rFonts w:ascii="宋体" w:hAnsi="宋体"/>
          <w:b/>
          <w:color w:val="auto"/>
          <w:sz w:val="21"/>
          <w:szCs w:val="21"/>
        </w:rPr>
        <w:instrText xml:space="preserve"> TOC \o "1-2" \h \z \u </w:instrText>
      </w:r>
      <w:r>
        <w:rPr>
          <w:rStyle w:val="98"/>
          <w:color w:val="auto"/>
          <w:sz w:val="21"/>
        </w:rPr>
        <w:fldChar w:fldCharType="separate"/>
      </w:r>
      <w:r>
        <w:rPr>
          <w:rFonts w:ascii="宋体" w:hAnsi="宋体"/>
          <w:szCs w:val="21"/>
        </w:rPr>
        <w:fldChar w:fldCharType="begin"/>
      </w:r>
      <w:r>
        <w:rPr>
          <w:rFonts w:ascii="宋体" w:hAnsi="宋体"/>
          <w:szCs w:val="21"/>
        </w:rPr>
        <w:instrText xml:space="preserve"> HYPERLINK \l _Toc21695 </w:instrText>
      </w:r>
      <w:r>
        <w:rPr>
          <w:rFonts w:ascii="宋体" w:hAnsi="宋体"/>
          <w:szCs w:val="21"/>
        </w:rPr>
        <w:fldChar w:fldCharType="separate"/>
      </w:r>
      <w:r>
        <w:rPr>
          <w:rFonts w:hint="eastAsia"/>
          <w:szCs w:val="52"/>
        </w:rPr>
        <w:t>第一章通用技术要求</w:t>
      </w:r>
      <w:r>
        <w:tab/>
      </w:r>
      <w:r>
        <w:fldChar w:fldCharType="begin"/>
      </w:r>
      <w:r>
        <w:instrText xml:space="preserve"> PAGEREF _Toc21695 \h </w:instrText>
      </w:r>
      <w:r>
        <w:fldChar w:fldCharType="separate"/>
      </w:r>
      <w:r>
        <w:t>1</w:t>
      </w:r>
      <w:r>
        <w:fldChar w:fldCharType="end"/>
      </w:r>
      <w:r>
        <w:rPr>
          <w:rFonts w:ascii="宋体" w:hAnsi="宋体"/>
          <w:szCs w:val="21"/>
        </w:rPr>
        <w:fldChar w:fldCharType="end"/>
      </w:r>
    </w:p>
    <w:p w14:paraId="08D845FC">
      <w:pPr>
        <w:pStyle w:val="59"/>
        <w:tabs>
          <w:tab w:val="right" w:leader="dot" w:pos="9070"/>
        </w:tabs>
      </w:pPr>
      <w:r>
        <w:rPr>
          <w:rFonts w:ascii="宋体" w:hAnsi="宋体"/>
          <w:szCs w:val="21"/>
        </w:rPr>
        <w:fldChar w:fldCharType="begin"/>
      </w:r>
      <w:r>
        <w:rPr>
          <w:rFonts w:ascii="宋体" w:hAnsi="宋体"/>
          <w:szCs w:val="21"/>
        </w:rPr>
        <w:instrText xml:space="preserve"> HYPERLINK \l _Toc5386 </w:instrText>
      </w:r>
      <w:r>
        <w:rPr>
          <w:rFonts w:ascii="宋体" w:hAnsi="宋体"/>
          <w:szCs w:val="21"/>
        </w:rPr>
        <w:fldChar w:fldCharType="separate"/>
      </w:r>
      <w:r>
        <w:rPr>
          <w:rFonts w:hint="eastAsia" w:ascii="Times New Roman" w:hAnsi="Times New Roman" w:eastAsia="宋体"/>
          <w:bCs/>
          <w:szCs w:val="21"/>
        </w:rPr>
        <w:t>1 总则</w:t>
      </w:r>
      <w:r>
        <w:tab/>
      </w:r>
      <w:r>
        <w:fldChar w:fldCharType="begin"/>
      </w:r>
      <w:r>
        <w:instrText xml:space="preserve"> PAGEREF _Toc5386 \h </w:instrText>
      </w:r>
      <w:r>
        <w:fldChar w:fldCharType="separate"/>
      </w:r>
      <w:r>
        <w:t>2</w:t>
      </w:r>
      <w:r>
        <w:fldChar w:fldCharType="end"/>
      </w:r>
      <w:r>
        <w:rPr>
          <w:rFonts w:ascii="宋体" w:hAnsi="宋体"/>
          <w:szCs w:val="21"/>
        </w:rPr>
        <w:fldChar w:fldCharType="end"/>
      </w:r>
    </w:p>
    <w:p w14:paraId="26428E35">
      <w:pPr>
        <w:pStyle w:val="74"/>
        <w:tabs>
          <w:tab w:val="right" w:leader="dot" w:pos="9070"/>
        </w:tabs>
      </w:pPr>
      <w:r>
        <w:rPr>
          <w:rFonts w:ascii="宋体" w:hAnsi="宋体"/>
          <w:szCs w:val="21"/>
        </w:rPr>
        <w:fldChar w:fldCharType="begin"/>
      </w:r>
      <w:r>
        <w:rPr>
          <w:rFonts w:ascii="宋体" w:hAnsi="宋体"/>
          <w:szCs w:val="21"/>
        </w:rPr>
        <w:instrText xml:space="preserve"> HYPERLINK \l _Toc29875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 </w:t>
      </w:r>
      <w:r>
        <w:rPr>
          <w:rFonts w:hint="eastAsia"/>
          <w:szCs w:val="21"/>
        </w:rPr>
        <w:t>适用范围</w:t>
      </w:r>
      <w:r>
        <w:tab/>
      </w:r>
      <w:r>
        <w:fldChar w:fldCharType="begin"/>
      </w:r>
      <w:r>
        <w:instrText xml:space="preserve"> PAGEREF _Toc29875 \h </w:instrText>
      </w:r>
      <w:r>
        <w:fldChar w:fldCharType="separate"/>
      </w:r>
      <w:r>
        <w:t>2</w:t>
      </w:r>
      <w:r>
        <w:fldChar w:fldCharType="end"/>
      </w:r>
      <w:r>
        <w:rPr>
          <w:rFonts w:ascii="宋体" w:hAnsi="宋体"/>
          <w:szCs w:val="21"/>
        </w:rPr>
        <w:fldChar w:fldCharType="end"/>
      </w:r>
    </w:p>
    <w:p w14:paraId="0B4429BF">
      <w:pPr>
        <w:pStyle w:val="74"/>
        <w:tabs>
          <w:tab w:val="right" w:leader="dot" w:pos="9070"/>
        </w:tabs>
      </w:pPr>
      <w:r>
        <w:rPr>
          <w:rFonts w:ascii="宋体" w:hAnsi="宋体"/>
          <w:szCs w:val="21"/>
        </w:rPr>
        <w:fldChar w:fldCharType="begin"/>
      </w:r>
      <w:r>
        <w:rPr>
          <w:rFonts w:ascii="宋体" w:hAnsi="宋体"/>
          <w:szCs w:val="21"/>
        </w:rPr>
        <w:instrText xml:space="preserve"> HYPERLINK \l _Toc9167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 </w:t>
      </w:r>
      <w:r>
        <w:rPr>
          <w:rFonts w:hint="eastAsia"/>
          <w:szCs w:val="21"/>
        </w:rPr>
        <w:t>文件组成</w:t>
      </w:r>
      <w:r>
        <w:tab/>
      </w:r>
      <w:r>
        <w:fldChar w:fldCharType="begin"/>
      </w:r>
      <w:r>
        <w:instrText xml:space="preserve"> PAGEREF _Toc9167 \h </w:instrText>
      </w:r>
      <w:r>
        <w:fldChar w:fldCharType="separate"/>
      </w:r>
      <w:r>
        <w:t>3</w:t>
      </w:r>
      <w:r>
        <w:fldChar w:fldCharType="end"/>
      </w:r>
      <w:r>
        <w:rPr>
          <w:rFonts w:ascii="宋体" w:hAnsi="宋体"/>
          <w:szCs w:val="21"/>
        </w:rPr>
        <w:fldChar w:fldCharType="end"/>
      </w:r>
    </w:p>
    <w:p w14:paraId="7451783D">
      <w:pPr>
        <w:pStyle w:val="74"/>
        <w:tabs>
          <w:tab w:val="right" w:leader="dot" w:pos="9070"/>
        </w:tabs>
      </w:pPr>
      <w:r>
        <w:rPr>
          <w:rFonts w:ascii="宋体" w:hAnsi="宋体"/>
          <w:szCs w:val="21"/>
        </w:rPr>
        <w:fldChar w:fldCharType="begin"/>
      </w:r>
      <w:r>
        <w:rPr>
          <w:rFonts w:ascii="宋体" w:hAnsi="宋体"/>
          <w:szCs w:val="21"/>
        </w:rPr>
        <w:instrText xml:space="preserve"> HYPERLINK \l _Toc23845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1.3 </w:t>
      </w:r>
      <w:r>
        <w:rPr>
          <w:rFonts w:hint="eastAsia"/>
          <w:szCs w:val="21"/>
        </w:rPr>
        <w:t>项目工作语言</w:t>
      </w:r>
      <w:r>
        <w:tab/>
      </w:r>
      <w:r>
        <w:fldChar w:fldCharType="begin"/>
      </w:r>
      <w:r>
        <w:instrText xml:space="preserve"> PAGEREF _Toc23845 \h </w:instrText>
      </w:r>
      <w:r>
        <w:fldChar w:fldCharType="separate"/>
      </w:r>
      <w:r>
        <w:t>3</w:t>
      </w:r>
      <w:r>
        <w:fldChar w:fldCharType="end"/>
      </w:r>
      <w:r>
        <w:rPr>
          <w:rFonts w:ascii="宋体" w:hAnsi="宋体"/>
          <w:szCs w:val="21"/>
        </w:rPr>
        <w:fldChar w:fldCharType="end"/>
      </w:r>
    </w:p>
    <w:p w14:paraId="2DA10804">
      <w:pPr>
        <w:pStyle w:val="74"/>
        <w:tabs>
          <w:tab w:val="right" w:leader="dot" w:pos="9070"/>
        </w:tabs>
      </w:pPr>
      <w:r>
        <w:rPr>
          <w:rFonts w:ascii="宋体" w:hAnsi="宋体"/>
          <w:szCs w:val="21"/>
        </w:rPr>
        <w:fldChar w:fldCharType="begin"/>
      </w:r>
      <w:r>
        <w:rPr>
          <w:rFonts w:ascii="宋体" w:hAnsi="宋体"/>
          <w:szCs w:val="21"/>
        </w:rPr>
        <w:instrText xml:space="preserve"> HYPERLINK \l _Toc2645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1.4 </w:t>
      </w:r>
      <w:r>
        <w:rPr>
          <w:rFonts w:hint="eastAsia"/>
          <w:szCs w:val="21"/>
        </w:rPr>
        <w:t>解释权</w:t>
      </w:r>
      <w:r>
        <w:tab/>
      </w:r>
      <w:r>
        <w:fldChar w:fldCharType="begin"/>
      </w:r>
      <w:r>
        <w:instrText xml:space="preserve"> PAGEREF _Toc2645 \h </w:instrText>
      </w:r>
      <w:r>
        <w:fldChar w:fldCharType="separate"/>
      </w:r>
      <w:r>
        <w:t>3</w:t>
      </w:r>
      <w:r>
        <w:fldChar w:fldCharType="end"/>
      </w:r>
      <w:r>
        <w:rPr>
          <w:rFonts w:ascii="宋体" w:hAnsi="宋体"/>
          <w:szCs w:val="21"/>
        </w:rPr>
        <w:fldChar w:fldCharType="end"/>
      </w:r>
    </w:p>
    <w:p w14:paraId="781B244E">
      <w:pPr>
        <w:pStyle w:val="74"/>
        <w:tabs>
          <w:tab w:val="right" w:leader="dot" w:pos="9070"/>
        </w:tabs>
      </w:pPr>
      <w:r>
        <w:rPr>
          <w:rFonts w:ascii="宋体" w:hAnsi="宋体"/>
          <w:szCs w:val="21"/>
        </w:rPr>
        <w:fldChar w:fldCharType="begin"/>
      </w:r>
      <w:r>
        <w:rPr>
          <w:rFonts w:ascii="宋体" w:hAnsi="宋体"/>
          <w:szCs w:val="21"/>
        </w:rPr>
        <w:instrText xml:space="preserve"> HYPERLINK \l _Toc12188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1.5 </w:t>
      </w:r>
      <w:r>
        <w:rPr>
          <w:rFonts w:hint="eastAsia"/>
          <w:szCs w:val="21"/>
        </w:rPr>
        <w:t>参考标准</w:t>
      </w:r>
      <w:r>
        <w:tab/>
      </w:r>
      <w:r>
        <w:fldChar w:fldCharType="begin"/>
      </w:r>
      <w:r>
        <w:instrText xml:space="preserve"> PAGEREF _Toc12188 \h </w:instrText>
      </w:r>
      <w:r>
        <w:fldChar w:fldCharType="separate"/>
      </w:r>
      <w:r>
        <w:t>3</w:t>
      </w:r>
      <w:r>
        <w:fldChar w:fldCharType="end"/>
      </w:r>
      <w:r>
        <w:rPr>
          <w:rFonts w:ascii="宋体" w:hAnsi="宋体"/>
          <w:szCs w:val="21"/>
        </w:rPr>
        <w:fldChar w:fldCharType="end"/>
      </w:r>
    </w:p>
    <w:p w14:paraId="2DF06D96">
      <w:pPr>
        <w:pStyle w:val="74"/>
        <w:tabs>
          <w:tab w:val="right" w:leader="dot" w:pos="9070"/>
        </w:tabs>
      </w:pPr>
      <w:r>
        <w:rPr>
          <w:rFonts w:ascii="宋体" w:hAnsi="宋体"/>
          <w:szCs w:val="21"/>
        </w:rPr>
        <w:fldChar w:fldCharType="begin"/>
      </w:r>
      <w:r>
        <w:rPr>
          <w:rFonts w:ascii="宋体" w:hAnsi="宋体"/>
          <w:szCs w:val="21"/>
        </w:rPr>
        <w:instrText xml:space="preserve"> HYPERLINK \l _Toc20468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1.6 </w:t>
      </w:r>
      <w:r>
        <w:rPr>
          <w:rFonts w:hint="eastAsia"/>
          <w:szCs w:val="21"/>
        </w:rPr>
        <w:t>单位制</w:t>
      </w:r>
      <w:r>
        <w:tab/>
      </w:r>
      <w:r>
        <w:fldChar w:fldCharType="begin"/>
      </w:r>
      <w:r>
        <w:instrText xml:space="preserve"> PAGEREF _Toc20468 \h </w:instrText>
      </w:r>
      <w:r>
        <w:fldChar w:fldCharType="separate"/>
      </w:r>
      <w:r>
        <w:t>4</w:t>
      </w:r>
      <w:r>
        <w:fldChar w:fldCharType="end"/>
      </w:r>
      <w:r>
        <w:rPr>
          <w:rFonts w:ascii="宋体" w:hAnsi="宋体"/>
          <w:szCs w:val="21"/>
        </w:rPr>
        <w:fldChar w:fldCharType="end"/>
      </w:r>
    </w:p>
    <w:p w14:paraId="74DF888D">
      <w:pPr>
        <w:pStyle w:val="74"/>
        <w:tabs>
          <w:tab w:val="right" w:leader="dot" w:pos="9070"/>
        </w:tabs>
      </w:pPr>
      <w:r>
        <w:rPr>
          <w:rFonts w:ascii="宋体" w:hAnsi="宋体"/>
          <w:szCs w:val="21"/>
        </w:rPr>
        <w:fldChar w:fldCharType="begin"/>
      </w:r>
      <w:r>
        <w:rPr>
          <w:rFonts w:ascii="宋体" w:hAnsi="宋体"/>
          <w:szCs w:val="21"/>
        </w:rPr>
        <w:instrText xml:space="preserve"> HYPERLINK \l _Toc14929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1.7 </w:t>
      </w:r>
      <w:r>
        <w:rPr>
          <w:rFonts w:hint="eastAsia"/>
          <w:szCs w:val="21"/>
        </w:rPr>
        <w:t>特别说明</w:t>
      </w:r>
      <w:r>
        <w:tab/>
      </w:r>
      <w:r>
        <w:fldChar w:fldCharType="begin"/>
      </w:r>
      <w:r>
        <w:instrText xml:space="preserve"> PAGEREF _Toc14929 \h </w:instrText>
      </w:r>
      <w:r>
        <w:fldChar w:fldCharType="separate"/>
      </w:r>
      <w:r>
        <w:t>4</w:t>
      </w:r>
      <w:r>
        <w:fldChar w:fldCharType="end"/>
      </w:r>
      <w:r>
        <w:rPr>
          <w:rFonts w:ascii="宋体" w:hAnsi="宋体"/>
          <w:szCs w:val="21"/>
        </w:rPr>
        <w:fldChar w:fldCharType="end"/>
      </w:r>
    </w:p>
    <w:p w14:paraId="63FE6784">
      <w:pPr>
        <w:pStyle w:val="59"/>
        <w:tabs>
          <w:tab w:val="right" w:leader="dot" w:pos="9070"/>
        </w:tabs>
      </w:pPr>
      <w:r>
        <w:rPr>
          <w:rFonts w:ascii="宋体" w:hAnsi="宋体"/>
          <w:szCs w:val="21"/>
        </w:rPr>
        <w:fldChar w:fldCharType="begin"/>
      </w:r>
      <w:r>
        <w:rPr>
          <w:rFonts w:ascii="宋体" w:hAnsi="宋体"/>
          <w:szCs w:val="21"/>
        </w:rPr>
        <w:instrText xml:space="preserve"> HYPERLINK \l _Toc25915 </w:instrText>
      </w:r>
      <w:r>
        <w:rPr>
          <w:rFonts w:ascii="宋体" w:hAnsi="宋体"/>
          <w:szCs w:val="21"/>
        </w:rPr>
        <w:fldChar w:fldCharType="separate"/>
      </w:r>
      <w:r>
        <w:rPr>
          <w:rFonts w:hint="eastAsia" w:ascii="Times New Roman" w:hAnsi="Times New Roman" w:eastAsia="宋体"/>
          <w:bCs/>
          <w:szCs w:val="21"/>
        </w:rPr>
        <w:t xml:space="preserve">2 </w:t>
      </w:r>
      <w:r>
        <w:rPr>
          <w:rFonts w:hint="eastAsia" w:ascii="Times New Roman" w:hAnsi="Times New Roman" w:eastAsia="宋体"/>
          <w:bCs/>
          <w:szCs w:val="21"/>
          <w:lang w:val="en-US"/>
        </w:rPr>
        <w:t>项目</w:t>
      </w:r>
      <w:r>
        <w:rPr>
          <w:rFonts w:ascii="Times New Roman" w:hAnsi="Times New Roman" w:eastAsia="宋体"/>
          <w:bCs/>
          <w:szCs w:val="21"/>
        </w:rPr>
        <w:t>概况</w:t>
      </w:r>
      <w:r>
        <w:tab/>
      </w:r>
      <w:r>
        <w:fldChar w:fldCharType="begin"/>
      </w:r>
      <w:r>
        <w:instrText xml:space="preserve"> PAGEREF _Toc25915 \h </w:instrText>
      </w:r>
      <w:r>
        <w:fldChar w:fldCharType="separate"/>
      </w:r>
      <w:r>
        <w:t>5</w:t>
      </w:r>
      <w:r>
        <w:fldChar w:fldCharType="end"/>
      </w:r>
      <w:r>
        <w:rPr>
          <w:rFonts w:ascii="宋体" w:hAnsi="宋体"/>
          <w:szCs w:val="21"/>
        </w:rPr>
        <w:fldChar w:fldCharType="end"/>
      </w:r>
    </w:p>
    <w:p w14:paraId="23F0770A">
      <w:pPr>
        <w:pStyle w:val="74"/>
        <w:tabs>
          <w:tab w:val="right" w:leader="dot" w:pos="9070"/>
        </w:tabs>
      </w:pPr>
      <w:r>
        <w:rPr>
          <w:rFonts w:ascii="宋体" w:hAnsi="宋体"/>
          <w:szCs w:val="21"/>
        </w:rPr>
        <w:fldChar w:fldCharType="begin"/>
      </w:r>
      <w:r>
        <w:rPr>
          <w:rFonts w:ascii="宋体" w:hAnsi="宋体"/>
          <w:szCs w:val="21"/>
        </w:rPr>
        <w:instrText xml:space="preserve"> HYPERLINK \l _Toc494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2.1 </w:t>
      </w:r>
      <w:r>
        <w:rPr>
          <w:rFonts w:hint="eastAsia"/>
          <w:szCs w:val="21"/>
          <w:lang w:val="en-US"/>
        </w:rPr>
        <w:t>政策背景</w:t>
      </w:r>
      <w:r>
        <w:tab/>
      </w:r>
      <w:r>
        <w:fldChar w:fldCharType="begin"/>
      </w:r>
      <w:r>
        <w:instrText xml:space="preserve"> PAGEREF _Toc494 \h </w:instrText>
      </w:r>
      <w:r>
        <w:fldChar w:fldCharType="separate"/>
      </w:r>
      <w:r>
        <w:t>5</w:t>
      </w:r>
      <w:r>
        <w:fldChar w:fldCharType="end"/>
      </w:r>
      <w:r>
        <w:rPr>
          <w:rFonts w:ascii="宋体" w:hAnsi="宋体"/>
          <w:szCs w:val="21"/>
        </w:rPr>
        <w:fldChar w:fldCharType="end"/>
      </w:r>
    </w:p>
    <w:p w14:paraId="6E360C4D">
      <w:pPr>
        <w:pStyle w:val="74"/>
        <w:tabs>
          <w:tab w:val="right" w:leader="dot" w:pos="9070"/>
        </w:tabs>
      </w:pPr>
      <w:r>
        <w:rPr>
          <w:rFonts w:ascii="宋体" w:hAnsi="宋体"/>
          <w:szCs w:val="21"/>
        </w:rPr>
        <w:fldChar w:fldCharType="begin"/>
      </w:r>
      <w:r>
        <w:rPr>
          <w:rFonts w:ascii="宋体" w:hAnsi="宋体"/>
          <w:szCs w:val="21"/>
        </w:rPr>
        <w:instrText xml:space="preserve"> HYPERLINK \l _Toc308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2.2 </w:t>
      </w:r>
      <w:r>
        <w:rPr>
          <w:rFonts w:hint="eastAsia"/>
          <w:szCs w:val="21"/>
          <w:lang w:val="en-US"/>
        </w:rPr>
        <w:t>现状情况</w:t>
      </w:r>
      <w:r>
        <w:tab/>
      </w:r>
      <w:r>
        <w:fldChar w:fldCharType="begin"/>
      </w:r>
      <w:r>
        <w:instrText xml:space="preserve"> PAGEREF _Toc308 \h </w:instrText>
      </w:r>
      <w:r>
        <w:fldChar w:fldCharType="separate"/>
      </w:r>
      <w:r>
        <w:t>5</w:t>
      </w:r>
      <w:r>
        <w:fldChar w:fldCharType="end"/>
      </w:r>
      <w:r>
        <w:rPr>
          <w:rFonts w:ascii="宋体" w:hAnsi="宋体"/>
          <w:szCs w:val="21"/>
        </w:rPr>
        <w:fldChar w:fldCharType="end"/>
      </w:r>
    </w:p>
    <w:p w14:paraId="4D8229EF">
      <w:pPr>
        <w:pStyle w:val="74"/>
        <w:tabs>
          <w:tab w:val="right" w:leader="dot" w:pos="9070"/>
        </w:tabs>
      </w:pPr>
      <w:r>
        <w:rPr>
          <w:rFonts w:ascii="宋体" w:hAnsi="宋体"/>
          <w:szCs w:val="21"/>
        </w:rPr>
        <w:fldChar w:fldCharType="begin"/>
      </w:r>
      <w:r>
        <w:rPr>
          <w:rFonts w:ascii="宋体" w:hAnsi="宋体"/>
          <w:szCs w:val="21"/>
        </w:rPr>
        <w:instrText xml:space="preserve"> HYPERLINK \l _Toc1545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2.3 </w:t>
      </w:r>
      <w:r>
        <w:rPr>
          <w:rFonts w:hint="eastAsia"/>
          <w:szCs w:val="21"/>
          <w:lang w:val="en-US"/>
        </w:rPr>
        <w:t>项目工期</w:t>
      </w:r>
      <w:r>
        <w:tab/>
      </w:r>
      <w:r>
        <w:fldChar w:fldCharType="begin"/>
      </w:r>
      <w:r>
        <w:instrText xml:space="preserve"> PAGEREF _Toc1545 \h </w:instrText>
      </w:r>
      <w:r>
        <w:fldChar w:fldCharType="separate"/>
      </w:r>
      <w:r>
        <w:t>5</w:t>
      </w:r>
      <w:r>
        <w:fldChar w:fldCharType="end"/>
      </w:r>
      <w:r>
        <w:rPr>
          <w:rFonts w:ascii="宋体" w:hAnsi="宋体"/>
          <w:szCs w:val="21"/>
        </w:rPr>
        <w:fldChar w:fldCharType="end"/>
      </w:r>
    </w:p>
    <w:p w14:paraId="75075B6F">
      <w:pPr>
        <w:pStyle w:val="59"/>
        <w:tabs>
          <w:tab w:val="right" w:leader="dot" w:pos="9070"/>
        </w:tabs>
      </w:pPr>
      <w:r>
        <w:rPr>
          <w:rFonts w:ascii="宋体" w:hAnsi="宋体"/>
          <w:szCs w:val="21"/>
        </w:rPr>
        <w:fldChar w:fldCharType="begin"/>
      </w:r>
      <w:r>
        <w:rPr>
          <w:rFonts w:ascii="宋体" w:hAnsi="宋体"/>
          <w:szCs w:val="21"/>
        </w:rPr>
        <w:instrText xml:space="preserve"> HYPERLINK \l _Toc11406 </w:instrText>
      </w:r>
      <w:r>
        <w:rPr>
          <w:rFonts w:ascii="宋体" w:hAnsi="宋体"/>
          <w:szCs w:val="21"/>
        </w:rPr>
        <w:fldChar w:fldCharType="separate"/>
      </w:r>
      <w:r>
        <w:rPr>
          <w:rFonts w:hint="eastAsia" w:ascii="Times New Roman" w:hAnsi="Times New Roman" w:eastAsia="宋体"/>
          <w:bCs/>
          <w:szCs w:val="21"/>
        </w:rPr>
        <w:t xml:space="preserve">3 </w:t>
      </w:r>
      <w:r>
        <w:rPr>
          <w:rFonts w:ascii="Times New Roman" w:hAnsi="Times New Roman" w:eastAsia="宋体"/>
          <w:bCs/>
          <w:szCs w:val="21"/>
        </w:rPr>
        <w:t>招标范围</w:t>
      </w:r>
      <w:r>
        <w:tab/>
      </w:r>
      <w:r>
        <w:fldChar w:fldCharType="begin"/>
      </w:r>
      <w:r>
        <w:instrText xml:space="preserve"> PAGEREF _Toc11406 \h </w:instrText>
      </w:r>
      <w:r>
        <w:fldChar w:fldCharType="separate"/>
      </w:r>
      <w:r>
        <w:t>6</w:t>
      </w:r>
      <w:r>
        <w:fldChar w:fldCharType="end"/>
      </w:r>
      <w:r>
        <w:rPr>
          <w:rFonts w:ascii="宋体" w:hAnsi="宋体"/>
          <w:szCs w:val="21"/>
        </w:rPr>
        <w:fldChar w:fldCharType="end"/>
      </w:r>
    </w:p>
    <w:p w14:paraId="36624919">
      <w:pPr>
        <w:pStyle w:val="74"/>
        <w:tabs>
          <w:tab w:val="right" w:leader="dot" w:pos="9070"/>
        </w:tabs>
      </w:pPr>
      <w:r>
        <w:rPr>
          <w:rFonts w:ascii="宋体" w:hAnsi="宋体"/>
          <w:szCs w:val="21"/>
        </w:rPr>
        <w:fldChar w:fldCharType="begin"/>
      </w:r>
      <w:r>
        <w:rPr>
          <w:rFonts w:ascii="宋体" w:hAnsi="宋体"/>
          <w:szCs w:val="21"/>
        </w:rPr>
        <w:instrText xml:space="preserve"> HYPERLINK \l _Toc3951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3.1 </w:t>
      </w:r>
      <w:r>
        <w:rPr>
          <w:rFonts w:hint="eastAsia"/>
          <w:szCs w:val="21"/>
        </w:rPr>
        <w:t>招标范围</w:t>
      </w:r>
      <w:r>
        <w:tab/>
      </w:r>
      <w:r>
        <w:fldChar w:fldCharType="begin"/>
      </w:r>
      <w:r>
        <w:instrText xml:space="preserve"> PAGEREF _Toc3951 \h </w:instrText>
      </w:r>
      <w:r>
        <w:fldChar w:fldCharType="separate"/>
      </w:r>
      <w:r>
        <w:t>6</w:t>
      </w:r>
      <w:r>
        <w:fldChar w:fldCharType="end"/>
      </w:r>
      <w:r>
        <w:rPr>
          <w:rFonts w:ascii="宋体" w:hAnsi="宋体"/>
          <w:szCs w:val="21"/>
        </w:rPr>
        <w:fldChar w:fldCharType="end"/>
      </w:r>
    </w:p>
    <w:p w14:paraId="08723772">
      <w:pPr>
        <w:pStyle w:val="74"/>
        <w:tabs>
          <w:tab w:val="right" w:leader="dot" w:pos="9070"/>
        </w:tabs>
      </w:pPr>
      <w:r>
        <w:rPr>
          <w:rFonts w:ascii="宋体" w:hAnsi="宋体"/>
          <w:szCs w:val="21"/>
        </w:rPr>
        <w:fldChar w:fldCharType="begin"/>
      </w:r>
      <w:r>
        <w:rPr>
          <w:rFonts w:ascii="宋体" w:hAnsi="宋体"/>
          <w:szCs w:val="21"/>
        </w:rPr>
        <w:instrText xml:space="preserve"> HYPERLINK \l _Toc17774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3.2 </w:t>
      </w:r>
      <w:r>
        <w:rPr>
          <w:rFonts w:hint="eastAsia"/>
          <w:szCs w:val="21"/>
        </w:rPr>
        <w:t>其他要求</w:t>
      </w:r>
      <w:r>
        <w:tab/>
      </w:r>
      <w:r>
        <w:fldChar w:fldCharType="begin"/>
      </w:r>
      <w:r>
        <w:instrText xml:space="preserve"> PAGEREF _Toc17774 \h </w:instrText>
      </w:r>
      <w:r>
        <w:fldChar w:fldCharType="separate"/>
      </w:r>
      <w:r>
        <w:t>6</w:t>
      </w:r>
      <w:r>
        <w:fldChar w:fldCharType="end"/>
      </w:r>
      <w:r>
        <w:rPr>
          <w:rFonts w:ascii="宋体" w:hAnsi="宋体"/>
          <w:szCs w:val="21"/>
        </w:rPr>
        <w:fldChar w:fldCharType="end"/>
      </w:r>
    </w:p>
    <w:p w14:paraId="0AF7AE7C">
      <w:pPr>
        <w:pStyle w:val="59"/>
        <w:tabs>
          <w:tab w:val="right" w:leader="dot" w:pos="9070"/>
        </w:tabs>
      </w:pPr>
      <w:r>
        <w:rPr>
          <w:rFonts w:ascii="宋体" w:hAnsi="宋体"/>
          <w:szCs w:val="21"/>
        </w:rPr>
        <w:fldChar w:fldCharType="begin"/>
      </w:r>
      <w:r>
        <w:rPr>
          <w:rFonts w:ascii="宋体" w:hAnsi="宋体"/>
          <w:szCs w:val="21"/>
        </w:rPr>
        <w:instrText xml:space="preserve"> HYPERLINK \l _Toc8639 </w:instrText>
      </w:r>
      <w:r>
        <w:rPr>
          <w:rFonts w:ascii="宋体" w:hAnsi="宋体"/>
          <w:szCs w:val="21"/>
        </w:rPr>
        <w:fldChar w:fldCharType="separate"/>
      </w:r>
      <w:r>
        <w:rPr>
          <w:rFonts w:hint="eastAsia" w:ascii="Times New Roman" w:hAnsi="Times New Roman" w:eastAsia="宋体"/>
          <w:bCs/>
          <w:szCs w:val="21"/>
        </w:rPr>
        <w:t>4 供货范围</w:t>
      </w:r>
      <w:r>
        <w:tab/>
      </w:r>
      <w:r>
        <w:fldChar w:fldCharType="begin"/>
      </w:r>
      <w:r>
        <w:instrText xml:space="preserve"> PAGEREF _Toc8639 \h </w:instrText>
      </w:r>
      <w:r>
        <w:fldChar w:fldCharType="separate"/>
      </w:r>
      <w:r>
        <w:t>8</w:t>
      </w:r>
      <w:r>
        <w:fldChar w:fldCharType="end"/>
      </w:r>
      <w:r>
        <w:rPr>
          <w:rFonts w:ascii="宋体" w:hAnsi="宋体"/>
          <w:szCs w:val="21"/>
        </w:rPr>
        <w:fldChar w:fldCharType="end"/>
      </w:r>
    </w:p>
    <w:p w14:paraId="02C96433">
      <w:pPr>
        <w:pStyle w:val="74"/>
        <w:tabs>
          <w:tab w:val="right" w:leader="dot" w:pos="9070"/>
        </w:tabs>
      </w:pPr>
      <w:r>
        <w:rPr>
          <w:rFonts w:ascii="宋体" w:hAnsi="宋体"/>
          <w:szCs w:val="21"/>
        </w:rPr>
        <w:fldChar w:fldCharType="begin"/>
      </w:r>
      <w:r>
        <w:rPr>
          <w:rFonts w:ascii="宋体" w:hAnsi="宋体"/>
          <w:szCs w:val="21"/>
        </w:rPr>
        <w:instrText xml:space="preserve"> HYPERLINK \l _Toc849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4.1 </w:t>
      </w:r>
      <w:r>
        <w:rPr>
          <w:szCs w:val="21"/>
        </w:rPr>
        <w:t>总体说明</w:t>
      </w:r>
      <w:r>
        <w:tab/>
      </w:r>
      <w:r>
        <w:fldChar w:fldCharType="begin"/>
      </w:r>
      <w:r>
        <w:instrText xml:space="preserve"> PAGEREF _Toc849 \h </w:instrText>
      </w:r>
      <w:r>
        <w:fldChar w:fldCharType="separate"/>
      </w:r>
      <w:r>
        <w:t>8</w:t>
      </w:r>
      <w:r>
        <w:fldChar w:fldCharType="end"/>
      </w:r>
      <w:r>
        <w:rPr>
          <w:rFonts w:ascii="宋体" w:hAnsi="宋体"/>
          <w:szCs w:val="21"/>
        </w:rPr>
        <w:fldChar w:fldCharType="end"/>
      </w:r>
    </w:p>
    <w:p w14:paraId="09093DA4">
      <w:pPr>
        <w:pStyle w:val="74"/>
        <w:tabs>
          <w:tab w:val="right" w:leader="dot" w:pos="9070"/>
        </w:tabs>
      </w:pPr>
      <w:r>
        <w:rPr>
          <w:rFonts w:ascii="宋体" w:hAnsi="宋体"/>
          <w:szCs w:val="21"/>
        </w:rPr>
        <w:fldChar w:fldCharType="begin"/>
      </w:r>
      <w:r>
        <w:rPr>
          <w:rFonts w:ascii="宋体" w:hAnsi="宋体"/>
          <w:szCs w:val="21"/>
        </w:rPr>
        <w:instrText xml:space="preserve"> HYPERLINK \l _Toc26294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4.2 </w:t>
      </w:r>
      <w:r>
        <w:rPr>
          <w:szCs w:val="21"/>
        </w:rPr>
        <w:t>基本要求</w:t>
      </w:r>
      <w:r>
        <w:tab/>
      </w:r>
      <w:r>
        <w:fldChar w:fldCharType="begin"/>
      </w:r>
      <w:r>
        <w:instrText xml:space="preserve"> PAGEREF _Toc26294 \h </w:instrText>
      </w:r>
      <w:r>
        <w:fldChar w:fldCharType="separate"/>
      </w:r>
      <w:r>
        <w:t>8</w:t>
      </w:r>
      <w:r>
        <w:fldChar w:fldCharType="end"/>
      </w:r>
      <w:r>
        <w:rPr>
          <w:rFonts w:ascii="宋体" w:hAnsi="宋体"/>
          <w:szCs w:val="21"/>
        </w:rPr>
        <w:fldChar w:fldCharType="end"/>
      </w:r>
    </w:p>
    <w:p w14:paraId="0C5F68BB">
      <w:pPr>
        <w:pStyle w:val="74"/>
        <w:tabs>
          <w:tab w:val="right" w:leader="dot" w:pos="9070"/>
        </w:tabs>
      </w:pPr>
      <w:r>
        <w:rPr>
          <w:rFonts w:ascii="宋体" w:hAnsi="宋体"/>
          <w:szCs w:val="21"/>
        </w:rPr>
        <w:fldChar w:fldCharType="begin"/>
      </w:r>
      <w:r>
        <w:rPr>
          <w:rFonts w:ascii="宋体" w:hAnsi="宋体"/>
          <w:szCs w:val="21"/>
        </w:rPr>
        <w:instrText xml:space="preserve"> HYPERLINK \l _Toc8488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4.3 </w:t>
      </w:r>
      <w:r>
        <w:rPr>
          <w:rFonts w:hint="eastAsia"/>
          <w:szCs w:val="21"/>
        </w:rPr>
        <w:t>主要设备及材料清单</w:t>
      </w:r>
      <w:r>
        <w:tab/>
      </w:r>
      <w:r>
        <w:fldChar w:fldCharType="begin"/>
      </w:r>
      <w:r>
        <w:instrText xml:space="preserve"> PAGEREF _Toc8488 \h </w:instrText>
      </w:r>
      <w:r>
        <w:fldChar w:fldCharType="separate"/>
      </w:r>
      <w:r>
        <w:t>9</w:t>
      </w:r>
      <w:r>
        <w:fldChar w:fldCharType="end"/>
      </w:r>
      <w:r>
        <w:rPr>
          <w:rFonts w:ascii="宋体" w:hAnsi="宋体"/>
          <w:szCs w:val="21"/>
        </w:rPr>
        <w:fldChar w:fldCharType="end"/>
      </w:r>
    </w:p>
    <w:p w14:paraId="75361FCC">
      <w:pPr>
        <w:pStyle w:val="59"/>
        <w:tabs>
          <w:tab w:val="right" w:leader="dot" w:pos="9070"/>
        </w:tabs>
      </w:pPr>
      <w:r>
        <w:rPr>
          <w:rFonts w:ascii="宋体" w:hAnsi="宋体"/>
          <w:szCs w:val="21"/>
        </w:rPr>
        <w:fldChar w:fldCharType="begin"/>
      </w:r>
      <w:r>
        <w:rPr>
          <w:rFonts w:ascii="宋体" w:hAnsi="宋体"/>
          <w:szCs w:val="21"/>
        </w:rPr>
        <w:instrText xml:space="preserve"> HYPERLINK \l _Toc3360 </w:instrText>
      </w:r>
      <w:r>
        <w:rPr>
          <w:rFonts w:ascii="宋体" w:hAnsi="宋体"/>
          <w:szCs w:val="21"/>
        </w:rPr>
        <w:fldChar w:fldCharType="separate"/>
      </w:r>
      <w:r>
        <w:rPr>
          <w:rFonts w:hint="eastAsia" w:ascii="Times New Roman" w:hAnsi="Times New Roman" w:eastAsia="宋体"/>
          <w:bCs/>
          <w:szCs w:val="21"/>
        </w:rPr>
        <w:t>5 供货</w:t>
      </w:r>
      <w:r>
        <w:rPr>
          <w:rFonts w:ascii="Times New Roman" w:hAnsi="Times New Roman" w:eastAsia="宋体"/>
          <w:bCs/>
          <w:szCs w:val="21"/>
        </w:rPr>
        <w:t>要求</w:t>
      </w:r>
      <w:r>
        <w:tab/>
      </w:r>
      <w:r>
        <w:fldChar w:fldCharType="begin"/>
      </w:r>
      <w:r>
        <w:instrText xml:space="preserve"> PAGEREF _Toc3360 \h </w:instrText>
      </w:r>
      <w:r>
        <w:fldChar w:fldCharType="separate"/>
      </w:r>
      <w:r>
        <w:t>11</w:t>
      </w:r>
      <w:r>
        <w:fldChar w:fldCharType="end"/>
      </w:r>
      <w:r>
        <w:rPr>
          <w:rFonts w:ascii="宋体" w:hAnsi="宋体"/>
          <w:szCs w:val="21"/>
        </w:rPr>
        <w:fldChar w:fldCharType="end"/>
      </w:r>
    </w:p>
    <w:p w14:paraId="4C49F121">
      <w:pPr>
        <w:pStyle w:val="74"/>
        <w:tabs>
          <w:tab w:val="right" w:leader="dot" w:pos="9070"/>
        </w:tabs>
      </w:pPr>
      <w:r>
        <w:rPr>
          <w:rFonts w:ascii="宋体" w:hAnsi="宋体"/>
          <w:szCs w:val="21"/>
        </w:rPr>
        <w:fldChar w:fldCharType="begin"/>
      </w:r>
      <w:r>
        <w:rPr>
          <w:rFonts w:ascii="宋体" w:hAnsi="宋体"/>
          <w:szCs w:val="21"/>
        </w:rPr>
        <w:instrText xml:space="preserve"> HYPERLINK \l _Toc23487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5.1 </w:t>
      </w:r>
      <w:r>
        <w:rPr>
          <w:rFonts w:hint="eastAsia"/>
          <w:szCs w:val="21"/>
        </w:rPr>
        <w:t>基本要求</w:t>
      </w:r>
      <w:r>
        <w:tab/>
      </w:r>
      <w:r>
        <w:fldChar w:fldCharType="begin"/>
      </w:r>
      <w:r>
        <w:instrText xml:space="preserve"> PAGEREF _Toc23487 \h </w:instrText>
      </w:r>
      <w:r>
        <w:fldChar w:fldCharType="separate"/>
      </w:r>
      <w:r>
        <w:t>11</w:t>
      </w:r>
      <w:r>
        <w:fldChar w:fldCharType="end"/>
      </w:r>
      <w:r>
        <w:rPr>
          <w:rFonts w:ascii="宋体" w:hAnsi="宋体"/>
          <w:szCs w:val="21"/>
        </w:rPr>
        <w:fldChar w:fldCharType="end"/>
      </w:r>
    </w:p>
    <w:p w14:paraId="0EB8E0F5">
      <w:pPr>
        <w:pStyle w:val="74"/>
        <w:tabs>
          <w:tab w:val="right" w:leader="dot" w:pos="9070"/>
        </w:tabs>
      </w:pPr>
      <w:r>
        <w:rPr>
          <w:rFonts w:ascii="宋体" w:hAnsi="宋体"/>
          <w:szCs w:val="21"/>
        </w:rPr>
        <w:fldChar w:fldCharType="begin"/>
      </w:r>
      <w:r>
        <w:rPr>
          <w:rFonts w:ascii="宋体" w:hAnsi="宋体"/>
          <w:szCs w:val="21"/>
        </w:rPr>
        <w:instrText xml:space="preserve"> HYPERLINK \l _Toc19202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5.2 </w:t>
      </w:r>
      <w:r>
        <w:rPr>
          <w:szCs w:val="21"/>
        </w:rPr>
        <w:t>技术要求</w:t>
      </w:r>
      <w:r>
        <w:tab/>
      </w:r>
      <w:r>
        <w:fldChar w:fldCharType="begin"/>
      </w:r>
      <w:r>
        <w:instrText xml:space="preserve"> PAGEREF _Toc19202 \h </w:instrText>
      </w:r>
      <w:r>
        <w:fldChar w:fldCharType="separate"/>
      </w:r>
      <w:r>
        <w:t>11</w:t>
      </w:r>
      <w:r>
        <w:fldChar w:fldCharType="end"/>
      </w:r>
      <w:r>
        <w:rPr>
          <w:rFonts w:ascii="宋体" w:hAnsi="宋体"/>
          <w:szCs w:val="21"/>
        </w:rPr>
        <w:fldChar w:fldCharType="end"/>
      </w:r>
    </w:p>
    <w:p w14:paraId="5DA6D1B7">
      <w:pPr>
        <w:pStyle w:val="74"/>
        <w:tabs>
          <w:tab w:val="right" w:leader="dot" w:pos="9070"/>
        </w:tabs>
      </w:pPr>
      <w:r>
        <w:rPr>
          <w:rFonts w:ascii="宋体" w:hAnsi="宋体"/>
          <w:szCs w:val="21"/>
        </w:rPr>
        <w:fldChar w:fldCharType="begin"/>
      </w:r>
      <w:r>
        <w:rPr>
          <w:rFonts w:ascii="宋体" w:hAnsi="宋体"/>
          <w:szCs w:val="21"/>
        </w:rPr>
        <w:instrText xml:space="preserve"> HYPERLINK \l _Toc29638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5.3 </w:t>
      </w:r>
      <w:r>
        <w:rPr>
          <w:szCs w:val="21"/>
        </w:rPr>
        <w:t>其它要求</w:t>
      </w:r>
      <w:r>
        <w:tab/>
      </w:r>
      <w:r>
        <w:fldChar w:fldCharType="begin"/>
      </w:r>
      <w:r>
        <w:instrText xml:space="preserve"> PAGEREF _Toc29638 \h </w:instrText>
      </w:r>
      <w:r>
        <w:fldChar w:fldCharType="separate"/>
      </w:r>
      <w:r>
        <w:t>13</w:t>
      </w:r>
      <w:r>
        <w:fldChar w:fldCharType="end"/>
      </w:r>
      <w:r>
        <w:rPr>
          <w:rFonts w:ascii="宋体" w:hAnsi="宋体"/>
          <w:szCs w:val="21"/>
        </w:rPr>
        <w:fldChar w:fldCharType="end"/>
      </w:r>
    </w:p>
    <w:p w14:paraId="2BB54FF9">
      <w:pPr>
        <w:pStyle w:val="59"/>
        <w:tabs>
          <w:tab w:val="right" w:leader="dot" w:pos="9070"/>
        </w:tabs>
      </w:pPr>
      <w:r>
        <w:rPr>
          <w:rFonts w:ascii="宋体" w:hAnsi="宋体"/>
          <w:szCs w:val="21"/>
        </w:rPr>
        <w:fldChar w:fldCharType="begin"/>
      </w:r>
      <w:r>
        <w:rPr>
          <w:rFonts w:ascii="宋体" w:hAnsi="宋体"/>
          <w:szCs w:val="21"/>
        </w:rPr>
        <w:instrText xml:space="preserve"> HYPERLINK \l _Toc15877 </w:instrText>
      </w:r>
      <w:r>
        <w:rPr>
          <w:rFonts w:ascii="宋体" w:hAnsi="宋体"/>
          <w:szCs w:val="21"/>
        </w:rPr>
        <w:fldChar w:fldCharType="separate"/>
      </w:r>
      <w:r>
        <w:rPr>
          <w:rFonts w:hint="eastAsia" w:ascii="Times New Roman" w:hAnsi="Times New Roman" w:eastAsia="宋体"/>
          <w:bCs/>
          <w:szCs w:val="21"/>
        </w:rPr>
        <w:t xml:space="preserve">6 </w:t>
      </w:r>
      <w:r>
        <w:rPr>
          <w:rFonts w:ascii="Times New Roman" w:hAnsi="Times New Roman" w:eastAsia="宋体"/>
          <w:bCs/>
          <w:szCs w:val="21"/>
        </w:rPr>
        <w:t>任务、职责范围及接口</w:t>
      </w:r>
      <w:r>
        <w:tab/>
      </w:r>
      <w:r>
        <w:fldChar w:fldCharType="begin"/>
      </w:r>
      <w:r>
        <w:instrText xml:space="preserve"> PAGEREF _Toc15877 \h </w:instrText>
      </w:r>
      <w:r>
        <w:fldChar w:fldCharType="separate"/>
      </w:r>
      <w:r>
        <w:t>14</w:t>
      </w:r>
      <w:r>
        <w:fldChar w:fldCharType="end"/>
      </w:r>
      <w:r>
        <w:rPr>
          <w:rFonts w:ascii="宋体" w:hAnsi="宋体"/>
          <w:szCs w:val="21"/>
        </w:rPr>
        <w:fldChar w:fldCharType="end"/>
      </w:r>
    </w:p>
    <w:p w14:paraId="3DEE59F6">
      <w:pPr>
        <w:pStyle w:val="74"/>
        <w:tabs>
          <w:tab w:val="right" w:leader="dot" w:pos="9070"/>
        </w:tabs>
      </w:pPr>
      <w:r>
        <w:rPr>
          <w:rFonts w:ascii="宋体" w:hAnsi="宋体"/>
          <w:szCs w:val="21"/>
        </w:rPr>
        <w:fldChar w:fldCharType="begin"/>
      </w:r>
      <w:r>
        <w:rPr>
          <w:rFonts w:ascii="宋体" w:hAnsi="宋体"/>
          <w:szCs w:val="21"/>
        </w:rPr>
        <w:instrText xml:space="preserve"> HYPERLINK \l _Toc22807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6.1 </w:t>
      </w:r>
      <w:r>
        <w:rPr>
          <w:szCs w:val="21"/>
        </w:rPr>
        <w:t>总则</w:t>
      </w:r>
      <w:r>
        <w:tab/>
      </w:r>
      <w:r>
        <w:fldChar w:fldCharType="begin"/>
      </w:r>
      <w:r>
        <w:instrText xml:space="preserve"> PAGEREF _Toc22807 \h </w:instrText>
      </w:r>
      <w:r>
        <w:fldChar w:fldCharType="separate"/>
      </w:r>
      <w:r>
        <w:t>14</w:t>
      </w:r>
      <w:r>
        <w:fldChar w:fldCharType="end"/>
      </w:r>
      <w:r>
        <w:rPr>
          <w:rFonts w:ascii="宋体" w:hAnsi="宋体"/>
          <w:szCs w:val="21"/>
        </w:rPr>
        <w:fldChar w:fldCharType="end"/>
      </w:r>
    </w:p>
    <w:p w14:paraId="1B894FE8">
      <w:pPr>
        <w:pStyle w:val="74"/>
        <w:tabs>
          <w:tab w:val="right" w:leader="dot" w:pos="9070"/>
        </w:tabs>
      </w:pPr>
      <w:r>
        <w:rPr>
          <w:rFonts w:ascii="宋体" w:hAnsi="宋体"/>
          <w:szCs w:val="21"/>
        </w:rPr>
        <w:fldChar w:fldCharType="begin"/>
      </w:r>
      <w:r>
        <w:rPr>
          <w:rFonts w:ascii="宋体" w:hAnsi="宋体"/>
          <w:szCs w:val="21"/>
        </w:rPr>
        <w:instrText xml:space="preserve"> HYPERLINK \l _Toc1061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6.2 </w:t>
      </w:r>
      <w:r>
        <w:rPr>
          <w:szCs w:val="21"/>
        </w:rPr>
        <w:t>合同关系</w:t>
      </w:r>
      <w:r>
        <w:tab/>
      </w:r>
      <w:r>
        <w:fldChar w:fldCharType="begin"/>
      </w:r>
      <w:r>
        <w:instrText xml:space="preserve"> PAGEREF _Toc1061 \h </w:instrText>
      </w:r>
      <w:r>
        <w:fldChar w:fldCharType="separate"/>
      </w:r>
      <w:r>
        <w:t>14</w:t>
      </w:r>
      <w:r>
        <w:fldChar w:fldCharType="end"/>
      </w:r>
      <w:r>
        <w:rPr>
          <w:rFonts w:ascii="宋体" w:hAnsi="宋体"/>
          <w:szCs w:val="21"/>
        </w:rPr>
        <w:fldChar w:fldCharType="end"/>
      </w:r>
    </w:p>
    <w:p w14:paraId="69AF6C78">
      <w:pPr>
        <w:pStyle w:val="74"/>
        <w:tabs>
          <w:tab w:val="right" w:leader="dot" w:pos="9070"/>
        </w:tabs>
      </w:pPr>
      <w:r>
        <w:rPr>
          <w:rFonts w:ascii="宋体" w:hAnsi="宋体"/>
          <w:szCs w:val="21"/>
        </w:rPr>
        <w:fldChar w:fldCharType="begin"/>
      </w:r>
      <w:r>
        <w:rPr>
          <w:rFonts w:ascii="宋体" w:hAnsi="宋体"/>
          <w:szCs w:val="21"/>
        </w:rPr>
        <w:instrText xml:space="preserve"> HYPERLINK \l _Toc4382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6.3 </w:t>
      </w:r>
      <w:r>
        <w:rPr>
          <w:szCs w:val="21"/>
        </w:rPr>
        <w:t>各方职责</w:t>
      </w:r>
      <w:r>
        <w:tab/>
      </w:r>
      <w:r>
        <w:fldChar w:fldCharType="begin"/>
      </w:r>
      <w:r>
        <w:instrText xml:space="preserve"> PAGEREF _Toc4382 \h </w:instrText>
      </w:r>
      <w:r>
        <w:fldChar w:fldCharType="separate"/>
      </w:r>
      <w:r>
        <w:t>14</w:t>
      </w:r>
      <w:r>
        <w:fldChar w:fldCharType="end"/>
      </w:r>
      <w:r>
        <w:rPr>
          <w:rFonts w:ascii="宋体" w:hAnsi="宋体"/>
          <w:szCs w:val="21"/>
        </w:rPr>
        <w:fldChar w:fldCharType="end"/>
      </w:r>
    </w:p>
    <w:p w14:paraId="513C86A7">
      <w:pPr>
        <w:pStyle w:val="74"/>
        <w:tabs>
          <w:tab w:val="right" w:leader="dot" w:pos="9070"/>
        </w:tabs>
      </w:pPr>
      <w:r>
        <w:rPr>
          <w:rFonts w:ascii="宋体" w:hAnsi="宋体"/>
          <w:szCs w:val="21"/>
        </w:rPr>
        <w:fldChar w:fldCharType="begin"/>
      </w:r>
      <w:r>
        <w:rPr>
          <w:rFonts w:ascii="宋体" w:hAnsi="宋体"/>
          <w:szCs w:val="21"/>
        </w:rPr>
        <w:instrText xml:space="preserve"> HYPERLINK \l _Toc30454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6.4 </w:t>
      </w:r>
      <w:r>
        <w:rPr>
          <w:szCs w:val="21"/>
        </w:rPr>
        <w:t>接口管理责任</w:t>
      </w:r>
      <w:r>
        <w:tab/>
      </w:r>
      <w:r>
        <w:fldChar w:fldCharType="begin"/>
      </w:r>
      <w:r>
        <w:instrText xml:space="preserve"> PAGEREF _Toc30454 \h </w:instrText>
      </w:r>
      <w:r>
        <w:fldChar w:fldCharType="separate"/>
      </w:r>
      <w:r>
        <w:t>14</w:t>
      </w:r>
      <w:r>
        <w:fldChar w:fldCharType="end"/>
      </w:r>
      <w:r>
        <w:rPr>
          <w:rFonts w:ascii="宋体" w:hAnsi="宋体"/>
          <w:szCs w:val="21"/>
        </w:rPr>
        <w:fldChar w:fldCharType="end"/>
      </w:r>
    </w:p>
    <w:p w14:paraId="1D7EAC6A">
      <w:pPr>
        <w:pStyle w:val="59"/>
        <w:tabs>
          <w:tab w:val="right" w:leader="dot" w:pos="9070"/>
        </w:tabs>
      </w:pPr>
      <w:r>
        <w:rPr>
          <w:rFonts w:ascii="宋体" w:hAnsi="宋体"/>
          <w:szCs w:val="21"/>
        </w:rPr>
        <w:fldChar w:fldCharType="begin"/>
      </w:r>
      <w:r>
        <w:rPr>
          <w:rFonts w:ascii="宋体" w:hAnsi="宋体"/>
          <w:szCs w:val="21"/>
        </w:rPr>
        <w:instrText xml:space="preserve"> HYPERLINK \l _Toc14739 </w:instrText>
      </w:r>
      <w:r>
        <w:rPr>
          <w:rFonts w:ascii="宋体" w:hAnsi="宋体"/>
          <w:szCs w:val="21"/>
        </w:rPr>
        <w:fldChar w:fldCharType="separate"/>
      </w:r>
      <w:r>
        <w:rPr>
          <w:rFonts w:hint="eastAsia" w:ascii="Times New Roman" w:hAnsi="Times New Roman" w:eastAsia="宋体"/>
          <w:bCs/>
          <w:szCs w:val="21"/>
        </w:rPr>
        <w:t xml:space="preserve">7 </w:t>
      </w:r>
      <w:r>
        <w:rPr>
          <w:rFonts w:ascii="Times New Roman" w:hAnsi="Times New Roman" w:eastAsia="宋体"/>
          <w:bCs/>
          <w:szCs w:val="21"/>
        </w:rPr>
        <w:t>项目管理</w:t>
      </w:r>
      <w:r>
        <w:tab/>
      </w:r>
      <w:r>
        <w:fldChar w:fldCharType="begin"/>
      </w:r>
      <w:r>
        <w:instrText xml:space="preserve"> PAGEREF _Toc14739 \h </w:instrText>
      </w:r>
      <w:r>
        <w:fldChar w:fldCharType="separate"/>
      </w:r>
      <w:r>
        <w:t>15</w:t>
      </w:r>
      <w:r>
        <w:fldChar w:fldCharType="end"/>
      </w:r>
      <w:r>
        <w:rPr>
          <w:rFonts w:ascii="宋体" w:hAnsi="宋体"/>
          <w:szCs w:val="21"/>
        </w:rPr>
        <w:fldChar w:fldCharType="end"/>
      </w:r>
    </w:p>
    <w:p w14:paraId="6BAD99DC">
      <w:pPr>
        <w:pStyle w:val="74"/>
        <w:tabs>
          <w:tab w:val="right" w:leader="dot" w:pos="9070"/>
        </w:tabs>
      </w:pPr>
      <w:r>
        <w:rPr>
          <w:rFonts w:ascii="宋体" w:hAnsi="宋体"/>
          <w:szCs w:val="21"/>
        </w:rPr>
        <w:fldChar w:fldCharType="begin"/>
      </w:r>
      <w:r>
        <w:rPr>
          <w:rFonts w:ascii="宋体" w:hAnsi="宋体"/>
          <w:szCs w:val="21"/>
        </w:rPr>
        <w:instrText xml:space="preserve"> HYPERLINK \l _Toc1536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7.1 </w:t>
      </w:r>
      <w:r>
        <w:rPr>
          <w:szCs w:val="21"/>
        </w:rPr>
        <w:t>项目组织机构</w:t>
      </w:r>
      <w:r>
        <w:tab/>
      </w:r>
      <w:r>
        <w:fldChar w:fldCharType="begin"/>
      </w:r>
      <w:r>
        <w:instrText xml:space="preserve"> PAGEREF _Toc1536 \h </w:instrText>
      </w:r>
      <w:r>
        <w:fldChar w:fldCharType="separate"/>
      </w:r>
      <w:r>
        <w:t>15</w:t>
      </w:r>
      <w:r>
        <w:fldChar w:fldCharType="end"/>
      </w:r>
      <w:r>
        <w:rPr>
          <w:rFonts w:ascii="宋体" w:hAnsi="宋体"/>
          <w:szCs w:val="21"/>
        </w:rPr>
        <w:fldChar w:fldCharType="end"/>
      </w:r>
    </w:p>
    <w:p w14:paraId="494DC7B0">
      <w:pPr>
        <w:pStyle w:val="74"/>
        <w:tabs>
          <w:tab w:val="right" w:leader="dot" w:pos="9070"/>
        </w:tabs>
      </w:pPr>
      <w:r>
        <w:rPr>
          <w:rFonts w:ascii="宋体" w:hAnsi="宋体"/>
          <w:szCs w:val="21"/>
        </w:rPr>
        <w:fldChar w:fldCharType="begin"/>
      </w:r>
      <w:r>
        <w:rPr>
          <w:rFonts w:ascii="宋体" w:hAnsi="宋体"/>
          <w:szCs w:val="21"/>
        </w:rPr>
        <w:instrText xml:space="preserve"> HYPERLINK \l _Toc20959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7.2 </w:t>
      </w:r>
      <w:r>
        <w:rPr>
          <w:rFonts w:hint="eastAsia"/>
          <w:szCs w:val="21"/>
        </w:rPr>
        <w:t>项目管理</w:t>
      </w:r>
      <w:r>
        <w:rPr>
          <w:szCs w:val="21"/>
        </w:rPr>
        <w:t>机构</w:t>
      </w:r>
      <w:r>
        <w:rPr>
          <w:rFonts w:hint="eastAsia"/>
          <w:szCs w:val="21"/>
        </w:rPr>
        <w:t>及</w:t>
      </w:r>
      <w:r>
        <w:rPr>
          <w:szCs w:val="21"/>
        </w:rPr>
        <w:t>人员的配置</w:t>
      </w:r>
      <w:r>
        <w:tab/>
      </w:r>
      <w:r>
        <w:fldChar w:fldCharType="begin"/>
      </w:r>
      <w:r>
        <w:instrText xml:space="preserve"> PAGEREF _Toc20959 \h </w:instrText>
      </w:r>
      <w:r>
        <w:fldChar w:fldCharType="separate"/>
      </w:r>
      <w:r>
        <w:t>15</w:t>
      </w:r>
      <w:r>
        <w:fldChar w:fldCharType="end"/>
      </w:r>
      <w:r>
        <w:rPr>
          <w:rFonts w:ascii="宋体" w:hAnsi="宋体"/>
          <w:szCs w:val="21"/>
        </w:rPr>
        <w:fldChar w:fldCharType="end"/>
      </w:r>
    </w:p>
    <w:p w14:paraId="6021E193">
      <w:pPr>
        <w:pStyle w:val="74"/>
        <w:tabs>
          <w:tab w:val="right" w:leader="dot" w:pos="9070"/>
        </w:tabs>
      </w:pPr>
      <w:r>
        <w:rPr>
          <w:rFonts w:ascii="宋体" w:hAnsi="宋体"/>
          <w:szCs w:val="21"/>
        </w:rPr>
        <w:fldChar w:fldCharType="begin"/>
      </w:r>
      <w:r>
        <w:rPr>
          <w:rFonts w:ascii="宋体" w:hAnsi="宋体"/>
          <w:szCs w:val="21"/>
        </w:rPr>
        <w:instrText xml:space="preserve"> HYPERLINK \l _Toc20731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7.3 </w:t>
      </w:r>
      <w:r>
        <w:rPr>
          <w:szCs w:val="21"/>
        </w:rPr>
        <w:t>组织机构人员的要求</w:t>
      </w:r>
      <w:r>
        <w:tab/>
      </w:r>
      <w:r>
        <w:fldChar w:fldCharType="begin"/>
      </w:r>
      <w:r>
        <w:instrText xml:space="preserve"> PAGEREF _Toc20731 \h </w:instrText>
      </w:r>
      <w:r>
        <w:fldChar w:fldCharType="separate"/>
      </w:r>
      <w:r>
        <w:t>16</w:t>
      </w:r>
      <w:r>
        <w:fldChar w:fldCharType="end"/>
      </w:r>
      <w:r>
        <w:rPr>
          <w:rFonts w:ascii="宋体" w:hAnsi="宋体"/>
          <w:szCs w:val="21"/>
        </w:rPr>
        <w:fldChar w:fldCharType="end"/>
      </w:r>
    </w:p>
    <w:p w14:paraId="1F1F1450">
      <w:pPr>
        <w:pStyle w:val="74"/>
        <w:tabs>
          <w:tab w:val="right" w:leader="dot" w:pos="9070"/>
        </w:tabs>
      </w:pPr>
      <w:r>
        <w:rPr>
          <w:rFonts w:ascii="宋体" w:hAnsi="宋体"/>
          <w:szCs w:val="21"/>
        </w:rPr>
        <w:fldChar w:fldCharType="begin"/>
      </w:r>
      <w:r>
        <w:rPr>
          <w:rFonts w:ascii="宋体" w:hAnsi="宋体"/>
          <w:szCs w:val="21"/>
        </w:rPr>
        <w:instrText xml:space="preserve"> HYPERLINK \l _Toc2284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7.4 </w:t>
      </w:r>
      <w:r>
        <w:rPr>
          <w:szCs w:val="21"/>
        </w:rPr>
        <w:t>项目计划</w:t>
      </w:r>
      <w:r>
        <w:tab/>
      </w:r>
      <w:r>
        <w:fldChar w:fldCharType="begin"/>
      </w:r>
      <w:r>
        <w:instrText xml:space="preserve"> PAGEREF _Toc2284 \h </w:instrText>
      </w:r>
      <w:r>
        <w:fldChar w:fldCharType="separate"/>
      </w:r>
      <w:r>
        <w:t>18</w:t>
      </w:r>
      <w:r>
        <w:fldChar w:fldCharType="end"/>
      </w:r>
      <w:r>
        <w:rPr>
          <w:rFonts w:ascii="宋体" w:hAnsi="宋体"/>
          <w:szCs w:val="21"/>
        </w:rPr>
        <w:fldChar w:fldCharType="end"/>
      </w:r>
    </w:p>
    <w:p w14:paraId="586AEA78">
      <w:pPr>
        <w:pStyle w:val="74"/>
        <w:tabs>
          <w:tab w:val="right" w:leader="dot" w:pos="9070"/>
        </w:tabs>
      </w:pPr>
      <w:r>
        <w:rPr>
          <w:rFonts w:ascii="宋体" w:hAnsi="宋体"/>
          <w:szCs w:val="21"/>
        </w:rPr>
        <w:fldChar w:fldCharType="begin"/>
      </w:r>
      <w:r>
        <w:rPr>
          <w:rFonts w:ascii="宋体" w:hAnsi="宋体"/>
          <w:szCs w:val="21"/>
        </w:rPr>
        <w:instrText xml:space="preserve"> HYPERLINK \l _Toc26871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7.5 </w:t>
      </w:r>
      <w:r>
        <w:rPr>
          <w:szCs w:val="21"/>
        </w:rPr>
        <w:t>设计控制</w:t>
      </w:r>
      <w:r>
        <w:tab/>
      </w:r>
      <w:r>
        <w:fldChar w:fldCharType="begin"/>
      </w:r>
      <w:r>
        <w:instrText xml:space="preserve"> PAGEREF _Toc26871 \h </w:instrText>
      </w:r>
      <w:r>
        <w:fldChar w:fldCharType="separate"/>
      </w:r>
      <w:r>
        <w:t>19</w:t>
      </w:r>
      <w:r>
        <w:fldChar w:fldCharType="end"/>
      </w:r>
      <w:r>
        <w:rPr>
          <w:rFonts w:ascii="宋体" w:hAnsi="宋体"/>
          <w:szCs w:val="21"/>
        </w:rPr>
        <w:fldChar w:fldCharType="end"/>
      </w:r>
    </w:p>
    <w:p w14:paraId="0CC5970C">
      <w:pPr>
        <w:pStyle w:val="74"/>
        <w:tabs>
          <w:tab w:val="right" w:leader="dot" w:pos="9070"/>
        </w:tabs>
      </w:pPr>
      <w:r>
        <w:rPr>
          <w:rFonts w:ascii="宋体" w:hAnsi="宋体"/>
          <w:szCs w:val="21"/>
        </w:rPr>
        <w:fldChar w:fldCharType="begin"/>
      </w:r>
      <w:r>
        <w:rPr>
          <w:rFonts w:ascii="宋体" w:hAnsi="宋体"/>
          <w:szCs w:val="21"/>
        </w:rPr>
        <w:instrText xml:space="preserve"> HYPERLINK \l _Toc31279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7.6 </w:t>
      </w:r>
      <w:r>
        <w:rPr>
          <w:szCs w:val="21"/>
        </w:rPr>
        <w:t>进度控制</w:t>
      </w:r>
      <w:r>
        <w:tab/>
      </w:r>
      <w:r>
        <w:fldChar w:fldCharType="begin"/>
      </w:r>
      <w:r>
        <w:instrText xml:space="preserve"> PAGEREF _Toc31279 \h </w:instrText>
      </w:r>
      <w:r>
        <w:fldChar w:fldCharType="separate"/>
      </w:r>
      <w:r>
        <w:t>19</w:t>
      </w:r>
      <w:r>
        <w:fldChar w:fldCharType="end"/>
      </w:r>
      <w:r>
        <w:rPr>
          <w:rFonts w:ascii="宋体" w:hAnsi="宋体"/>
          <w:szCs w:val="21"/>
        </w:rPr>
        <w:fldChar w:fldCharType="end"/>
      </w:r>
    </w:p>
    <w:p w14:paraId="7CA3E7D5">
      <w:pPr>
        <w:pStyle w:val="74"/>
        <w:tabs>
          <w:tab w:val="right" w:leader="dot" w:pos="9070"/>
        </w:tabs>
      </w:pPr>
      <w:r>
        <w:rPr>
          <w:rFonts w:ascii="宋体" w:hAnsi="宋体"/>
          <w:szCs w:val="21"/>
        </w:rPr>
        <w:fldChar w:fldCharType="begin"/>
      </w:r>
      <w:r>
        <w:rPr>
          <w:rFonts w:ascii="宋体" w:hAnsi="宋体"/>
          <w:szCs w:val="21"/>
        </w:rPr>
        <w:instrText xml:space="preserve"> HYPERLINK \l _Toc6064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7.7 </w:t>
      </w:r>
      <w:r>
        <w:rPr>
          <w:szCs w:val="21"/>
        </w:rPr>
        <w:t>文件管理</w:t>
      </w:r>
      <w:r>
        <w:tab/>
      </w:r>
      <w:r>
        <w:fldChar w:fldCharType="begin"/>
      </w:r>
      <w:r>
        <w:instrText xml:space="preserve"> PAGEREF _Toc6064 \h </w:instrText>
      </w:r>
      <w:r>
        <w:fldChar w:fldCharType="separate"/>
      </w:r>
      <w:r>
        <w:t>19</w:t>
      </w:r>
      <w:r>
        <w:fldChar w:fldCharType="end"/>
      </w:r>
      <w:r>
        <w:rPr>
          <w:rFonts w:ascii="宋体" w:hAnsi="宋体"/>
          <w:szCs w:val="21"/>
        </w:rPr>
        <w:fldChar w:fldCharType="end"/>
      </w:r>
    </w:p>
    <w:p w14:paraId="6BC40102">
      <w:pPr>
        <w:pStyle w:val="59"/>
        <w:tabs>
          <w:tab w:val="right" w:leader="dot" w:pos="9070"/>
        </w:tabs>
      </w:pPr>
      <w:r>
        <w:rPr>
          <w:rFonts w:ascii="宋体" w:hAnsi="宋体"/>
          <w:szCs w:val="21"/>
        </w:rPr>
        <w:fldChar w:fldCharType="begin"/>
      </w:r>
      <w:r>
        <w:rPr>
          <w:rFonts w:ascii="宋体" w:hAnsi="宋体"/>
          <w:szCs w:val="21"/>
        </w:rPr>
        <w:instrText xml:space="preserve"> HYPERLINK \l _Toc23585 </w:instrText>
      </w:r>
      <w:r>
        <w:rPr>
          <w:rFonts w:ascii="宋体" w:hAnsi="宋体"/>
          <w:szCs w:val="21"/>
        </w:rPr>
        <w:fldChar w:fldCharType="separate"/>
      </w:r>
      <w:r>
        <w:rPr>
          <w:rFonts w:hint="eastAsia" w:ascii="Times New Roman" w:hAnsi="Times New Roman" w:eastAsia="宋体"/>
          <w:bCs/>
          <w:szCs w:val="21"/>
        </w:rPr>
        <w:t xml:space="preserve">8 </w:t>
      </w:r>
      <w:r>
        <w:rPr>
          <w:rFonts w:ascii="Times New Roman" w:hAnsi="Times New Roman" w:eastAsia="宋体"/>
          <w:bCs/>
          <w:szCs w:val="21"/>
        </w:rPr>
        <w:t>系统质量保证</w:t>
      </w:r>
      <w:r>
        <w:tab/>
      </w:r>
      <w:r>
        <w:fldChar w:fldCharType="begin"/>
      </w:r>
      <w:r>
        <w:instrText xml:space="preserve"> PAGEREF _Toc23585 \h </w:instrText>
      </w:r>
      <w:r>
        <w:fldChar w:fldCharType="separate"/>
      </w:r>
      <w:r>
        <w:t>25</w:t>
      </w:r>
      <w:r>
        <w:fldChar w:fldCharType="end"/>
      </w:r>
      <w:r>
        <w:rPr>
          <w:rFonts w:ascii="宋体" w:hAnsi="宋体"/>
          <w:szCs w:val="21"/>
        </w:rPr>
        <w:fldChar w:fldCharType="end"/>
      </w:r>
    </w:p>
    <w:p w14:paraId="1FBFE4B1">
      <w:pPr>
        <w:pStyle w:val="74"/>
        <w:tabs>
          <w:tab w:val="right" w:leader="dot" w:pos="9070"/>
        </w:tabs>
      </w:pPr>
      <w:r>
        <w:rPr>
          <w:rFonts w:ascii="宋体" w:hAnsi="宋体"/>
          <w:szCs w:val="21"/>
        </w:rPr>
        <w:fldChar w:fldCharType="begin"/>
      </w:r>
      <w:r>
        <w:rPr>
          <w:rFonts w:ascii="宋体" w:hAnsi="宋体"/>
          <w:szCs w:val="21"/>
        </w:rPr>
        <w:instrText xml:space="preserve"> HYPERLINK \l _Toc18082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8.1 </w:t>
      </w:r>
      <w:r>
        <w:rPr>
          <w:szCs w:val="21"/>
        </w:rPr>
        <w:t>质量控制</w:t>
      </w:r>
      <w:r>
        <w:tab/>
      </w:r>
      <w:r>
        <w:fldChar w:fldCharType="begin"/>
      </w:r>
      <w:r>
        <w:instrText xml:space="preserve"> PAGEREF _Toc18082 \h </w:instrText>
      </w:r>
      <w:r>
        <w:fldChar w:fldCharType="separate"/>
      </w:r>
      <w:r>
        <w:t>25</w:t>
      </w:r>
      <w:r>
        <w:fldChar w:fldCharType="end"/>
      </w:r>
      <w:r>
        <w:rPr>
          <w:rFonts w:ascii="宋体" w:hAnsi="宋体"/>
          <w:szCs w:val="21"/>
        </w:rPr>
        <w:fldChar w:fldCharType="end"/>
      </w:r>
    </w:p>
    <w:p w14:paraId="095C3A80">
      <w:pPr>
        <w:pStyle w:val="74"/>
        <w:tabs>
          <w:tab w:val="right" w:leader="dot" w:pos="9070"/>
        </w:tabs>
      </w:pPr>
      <w:r>
        <w:rPr>
          <w:rFonts w:ascii="宋体" w:hAnsi="宋体"/>
          <w:szCs w:val="21"/>
        </w:rPr>
        <w:fldChar w:fldCharType="begin"/>
      </w:r>
      <w:r>
        <w:rPr>
          <w:rFonts w:ascii="宋体" w:hAnsi="宋体"/>
          <w:szCs w:val="21"/>
        </w:rPr>
        <w:instrText xml:space="preserve"> HYPERLINK \l _Toc29586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8.2 </w:t>
      </w:r>
      <w:r>
        <w:rPr>
          <w:szCs w:val="21"/>
        </w:rPr>
        <w:t>质量审核</w:t>
      </w:r>
      <w:r>
        <w:tab/>
      </w:r>
      <w:r>
        <w:fldChar w:fldCharType="begin"/>
      </w:r>
      <w:r>
        <w:instrText xml:space="preserve"> PAGEREF _Toc29586 \h </w:instrText>
      </w:r>
      <w:r>
        <w:fldChar w:fldCharType="separate"/>
      </w:r>
      <w:r>
        <w:t>25</w:t>
      </w:r>
      <w:r>
        <w:fldChar w:fldCharType="end"/>
      </w:r>
      <w:r>
        <w:rPr>
          <w:rFonts w:ascii="宋体" w:hAnsi="宋体"/>
          <w:szCs w:val="21"/>
        </w:rPr>
        <w:fldChar w:fldCharType="end"/>
      </w:r>
    </w:p>
    <w:p w14:paraId="4AFD09C1">
      <w:pPr>
        <w:pStyle w:val="74"/>
        <w:tabs>
          <w:tab w:val="right" w:leader="dot" w:pos="9070"/>
        </w:tabs>
      </w:pPr>
      <w:r>
        <w:rPr>
          <w:rFonts w:ascii="宋体" w:hAnsi="宋体"/>
          <w:szCs w:val="21"/>
        </w:rPr>
        <w:fldChar w:fldCharType="begin"/>
      </w:r>
      <w:r>
        <w:rPr>
          <w:rFonts w:ascii="宋体" w:hAnsi="宋体"/>
          <w:szCs w:val="21"/>
        </w:rPr>
        <w:instrText xml:space="preserve"> HYPERLINK \l _Toc11160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8.3 </w:t>
      </w:r>
      <w:r>
        <w:rPr>
          <w:szCs w:val="21"/>
        </w:rPr>
        <w:t>质量记录</w:t>
      </w:r>
      <w:r>
        <w:tab/>
      </w:r>
      <w:r>
        <w:fldChar w:fldCharType="begin"/>
      </w:r>
      <w:r>
        <w:instrText xml:space="preserve"> PAGEREF _Toc11160 \h </w:instrText>
      </w:r>
      <w:r>
        <w:fldChar w:fldCharType="separate"/>
      </w:r>
      <w:r>
        <w:t>25</w:t>
      </w:r>
      <w:r>
        <w:fldChar w:fldCharType="end"/>
      </w:r>
      <w:r>
        <w:rPr>
          <w:rFonts w:ascii="宋体" w:hAnsi="宋体"/>
          <w:szCs w:val="21"/>
        </w:rPr>
        <w:fldChar w:fldCharType="end"/>
      </w:r>
    </w:p>
    <w:p w14:paraId="7D3C009E">
      <w:pPr>
        <w:pStyle w:val="74"/>
        <w:tabs>
          <w:tab w:val="right" w:leader="dot" w:pos="9070"/>
        </w:tabs>
      </w:pPr>
      <w:r>
        <w:rPr>
          <w:rFonts w:ascii="宋体" w:hAnsi="宋体"/>
          <w:szCs w:val="21"/>
        </w:rPr>
        <w:fldChar w:fldCharType="begin"/>
      </w:r>
      <w:r>
        <w:rPr>
          <w:rFonts w:ascii="宋体" w:hAnsi="宋体"/>
          <w:szCs w:val="21"/>
        </w:rPr>
        <w:instrText xml:space="preserve"> HYPERLINK \l _Toc31349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8.4 </w:t>
      </w:r>
      <w:r>
        <w:rPr>
          <w:szCs w:val="21"/>
        </w:rPr>
        <w:t>质量文件</w:t>
      </w:r>
      <w:r>
        <w:tab/>
      </w:r>
      <w:r>
        <w:fldChar w:fldCharType="begin"/>
      </w:r>
      <w:r>
        <w:instrText xml:space="preserve"> PAGEREF _Toc31349 \h </w:instrText>
      </w:r>
      <w:r>
        <w:fldChar w:fldCharType="separate"/>
      </w:r>
      <w:r>
        <w:t>25</w:t>
      </w:r>
      <w:r>
        <w:fldChar w:fldCharType="end"/>
      </w:r>
      <w:r>
        <w:rPr>
          <w:rFonts w:ascii="宋体" w:hAnsi="宋体"/>
          <w:szCs w:val="21"/>
        </w:rPr>
        <w:fldChar w:fldCharType="end"/>
      </w:r>
    </w:p>
    <w:p w14:paraId="447906D0">
      <w:pPr>
        <w:pStyle w:val="74"/>
        <w:tabs>
          <w:tab w:val="right" w:leader="dot" w:pos="9070"/>
        </w:tabs>
      </w:pPr>
      <w:r>
        <w:rPr>
          <w:rFonts w:ascii="宋体" w:hAnsi="宋体"/>
          <w:szCs w:val="21"/>
        </w:rPr>
        <w:fldChar w:fldCharType="begin"/>
      </w:r>
      <w:r>
        <w:rPr>
          <w:rFonts w:ascii="宋体" w:hAnsi="宋体"/>
          <w:szCs w:val="21"/>
        </w:rPr>
        <w:instrText xml:space="preserve"> HYPERLINK \l _Toc20165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8.5 </w:t>
      </w:r>
      <w:r>
        <w:rPr>
          <w:szCs w:val="21"/>
        </w:rPr>
        <w:t>质保期服务</w:t>
      </w:r>
      <w:r>
        <w:tab/>
      </w:r>
      <w:r>
        <w:fldChar w:fldCharType="begin"/>
      </w:r>
      <w:r>
        <w:instrText xml:space="preserve"> PAGEREF _Toc20165 \h </w:instrText>
      </w:r>
      <w:r>
        <w:fldChar w:fldCharType="separate"/>
      </w:r>
      <w:r>
        <w:t>26</w:t>
      </w:r>
      <w:r>
        <w:fldChar w:fldCharType="end"/>
      </w:r>
      <w:r>
        <w:rPr>
          <w:rFonts w:ascii="宋体" w:hAnsi="宋体"/>
          <w:szCs w:val="21"/>
        </w:rPr>
        <w:fldChar w:fldCharType="end"/>
      </w:r>
    </w:p>
    <w:p w14:paraId="500E193F">
      <w:pPr>
        <w:pStyle w:val="59"/>
        <w:tabs>
          <w:tab w:val="right" w:leader="dot" w:pos="9070"/>
        </w:tabs>
      </w:pPr>
      <w:r>
        <w:rPr>
          <w:rFonts w:ascii="宋体" w:hAnsi="宋体"/>
          <w:szCs w:val="21"/>
        </w:rPr>
        <w:fldChar w:fldCharType="begin"/>
      </w:r>
      <w:r>
        <w:rPr>
          <w:rFonts w:ascii="宋体" w:hAnsi="宋体"/>
          <w:szCs w:val="21"/>
        </w:rPr>
        <w:instrText xml:space="preserve"> HYPERLINK \l _Toc24078 </w:instrText>
      </w:r>
      <w:r>
        <w:rPr>
          <w:rFonts w:ascii="宋体" w:hAnsi="宋体"/>
          <w:szCs w:val="21"/>
        </w:rPr>
        <w:fldChar w:fldCharType="separate"/>
      </w:r>
      <w:r>
        <w:rPr>
          <w:rFonts w:hint="eastAsia" w:ascii="Times New Roman" w:hAnsi="Times New Roman" w:eastAsia="宋体"/>
          <w:bCs/>
          <w:szCs w:val="21"/>
        </w:rPr>
        <w:t xml:space="preserve">9 </w:t>
      </w:r>
      <w:r>
        <w:rPr>
          <w:rFonts w:ascii="Times New Roman" w:hAnsi="Times New Roman" w:eastAsia="宋体"/>
          <w:bCs/>
          <w:szCs w:val="21"/>
        </w:rPr>
        <w:t>测试、检验及验收</w:t>
      </w:r>
      <w:r>
        <w:tab/>
      </w:r>
      <w:r>
        <w:fldChar w:fldCharType="begin"/>
      </w:r>
      <w:r>
        <w:instrText xml:space="preserve"> PAGEREF _Toc24078 \h </w:instrText>
      </w:r>
      <w:r>
        <w:fldChar w:fldCharType="separate"/>
      </w:r>
      <w:r>
        <w:t>28</w:t>
      </w:r>
      <w:r>
        <w:fldChar w:fldCharType="end"/>
      </w:r>
      <w:r>
        <w:rPr>
          <w:rFonts w:ascii="宋体" w:hAnsi="宋体"/>
          <w:szCs w:val="21"/>
        </w:rPr>
        <w:fldChar w:fldCharType="end"/>
      </w:r>
    </w:p>
    <w:p w14:paraId="73BA3813">
      <w:pPr>
        <w:pStyle w:val="74"/>
        <w:tabs>
          <w:tab w:val="right" w:leader="dot" w:pos="9070"/>
        </w:tabs>
      </w:pPr>
      <w:r>
        <w:rPr>
          <w:rFonts w:ascii="宋体" w:hAnsi="宋体"/>
          <w:szCs w:val="21"/>
        </w:rPr>
        <w:fldChar w:fldCharType="begin"/>
      </w:r>
      <w:r>
        <w:rPr>
          <w:rFonts w:ascii="宋体" w:hAnsi="宋体"/>
          <w:szCs w:val="21"/>
        </w:rPr>
        <w:instrText xml:space="preserve"> HYPERLINK \l _Toc24243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9.1 </w:t>
      </w:r>
      <w:r>
        <w:rPr>
          <w:szCs w:val="21"/>
        </w:rPr>
        <w:t>一般要求</w:t>
      </w:r>
      <w:r>
        <w:tab/>
      </w:r>
      <w:r>
        <w:fldChar w:fldCharType="begin"/>
      </w:r>
      <w:r>
        <w:instrText xml:space="preserve"> PAGEREF _Toc24243 \h </w:instrText>
      </w:r>
      <w:r>
        <w:fldChar w:fldCharType="separate"/>
      </w:r>
      <w:r>
        <w:t>28</w:t>
      </w:r>
      <w:r>
        <w:fldChar w:fldCharType="end"/>
      </w:r>
      <w:r>
        <w:rPr>
          <w:rFonts w:ascii="宋体" w:hAnsi="宋体"/>
          <w:szCs w:val="21"/>
        </w:rPr>
        <w:fldChar w:fldCharType="end"/>
      </w:r>
    </w:p>
    <w:p w14:paraId="18CC1A97">
      <w:pPr>
        <w:pStyle w:val="74"/>
        <w:tabs>
          <w:tab w:val="right" w:leader="dot" w:pos="9070"/>
        </w:tabs>
      </w:pPr>
      <w:r>
        <w:rPr>
          <w:rFonts w:ascii="宋体" w:hAnsi="宋体"/>
          <w:szCs w:val="21"/>
        </w:rPr>
        <w:fldChar w:fldCharType="begin"/>
      </w:r>
      <w:r>
        <w:rPr>
          <w:rFonts w:ascii="宋体" w:hAnsi="宋体"/>
          <w:szCs w:val="21"/>
        </w:rPr>
        <w:instrText xml:space="preserve"> HYPERLINK \l _Toc6070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9.2 </w:t>
      </w:r>
      <w:r>
        <w:rPr>
          <w:szCs w:val="21"/>
        </w:rPr>
        <w:t>到货检查</w:t>
      </w:r>
      <w:r>
        <w:tab/>
      </w:r>
      <w:r>
        <w:fldChar w:fldCharType="begin"/>
      </w:r>
      <w:r>
        <w:instrText xml:space="preserve"> PAGEREF _Toc6070 \h </w:instrText>
      </w:r>
      <w:r>
        <w:fldChar w:fldCharType="separate"/>
      </w:r>
      <w:r>
        <w:t>28</w:t>
      </w:r>
      <w:r>
        <w:fldChar w:fldCharType="end"/>
      </w:r>
      <w:r>
        <w:rPr>
          <w:rFonts w:ascii="宋体" w:hAnsi="宋体"/>
          <w:szCs w:val="21"/>
        </w:rPr>
        <w:fldChar w:fldCharType="end"/>
      </w:r>
    </w:p>
    <w:p w14:paraId="7840E420">
      <w:pPr>
        <w:pStyle w:val="74"/>
        <w:tabs>
          <w:tab w:val="right" w:leader="dot" w:pos="9070"/>
        </w:tabs>
      </w:pPr>
      <w:r>
        <w:rPr>
          <w:rFonts w:ascii="宋体" w:hAnsi="宋体"/>
          <w:szCs w:val="21"/>
        </w:rPr>
        <w:fldChar w:fldCharType="begin"/>
      </w:r>
      <w:r>
        <w:rPr>
          <w:rFonts w:ascii="宋体" w:hAnsi="宋体"/>
          <w:szCs w:val="21"/>
        </w:rPr>
        <w:instrText xml:space="preserve"> HYPERLINK \l _Toc10371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9.3 </w:t>
      </w:r>
      <w:r>
        <w:rPr>
          <w:rFonts w:hint="eastAsia"/>
          <w:szCs w:val="21"/>
        </w:rPr>
        <w:t>开箱检验</w:t>
      </w:r>
      <w:r>
        <w:tab/>
      </w:r>
      <w:r>
        <w:fldChar w:fldCharType="begin"/>
      </w:r>
      <w:r>
        <w:instrText xml:space="preserve"> PAGEREF _Toc10371 \h </w:instrText>
      </w:r>
      <w:r>
        <w:fldChar w:fldCharType="separate"/>
      </w:r>
      <w:r>
        <w:t>28</w:t>
      </w:r>
      <w:r>
        <w:fldChar w:fldCharType="end"/>
      </w:r>
      <w:r>
        <w:rPr>
          <w:rFonts w:ascii="宋体" w:hAnsi="宋体"/>
          <w:szCs w:val="21"/>
        </w:rPr>
        <w:fldChar w:fldCharType="end"/>
      </w:r>
    </w:p>
    <w:p w14:paraId="75D01491">
      <w:pPr>
        <w:pStyle w:val="74"/>
        <w:tabs>
          <w:tab w:val="right" w:leader="dot" w:pos="9070"/>
        </w:tabs>
      </w:pPr>
      <w:r>
        <w:rPr>
          <w:rFonts w:ascii="宋体" w:hAnsi="宋体"/>
          <w:szCs w:val="21"/>
        </w:rPr>
        <w:fldChar w:fldCharType="begin"/>
      </w:r>
      <w:r>
        <w:rPr>
          <w:rFonts w:ascii="宋体" w:hAnsi="宋体"/>
          <w:szCs w:val="21"/>
        </w:rPr>
        <w:instrText xml:space="preserve"> HYPERLINK \l _Toc15501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9.4 </w:t>
      </w:r>
      <w:r>
        <w:rPr>
          <w:szCs w:val="21"/>
        </w:rPr>
        <w:t>预验收</w:t>
      </w:r>
      <w:r>
        <w:tab/>
      </w:r>
      <w:r>
        <w:fldChar w:fldCharType="begin"/>
      </w:r>
      <w:r>
        <w:instrText xml:space="preserve"> PAGEREF _Toc15501 \h </w:instrText>
      </w:r>
      <w:r>
        <w:fldChar w:fldCharType="separate"/>
      </w:r>
      <w:r>
        <w:t>30</w:t>
      </w:r>
      <w:r>
        <w:fldChar w:fldCharType="end"/>
      </w:r>
      <w:r>
        <w:rPr>
          <w:rFonts w:ascii="宋体" w:hAnsi="宋体"/>
          <w:szCs w:val="21"/>
        </w:rPr>
        <w:fldChar w:fldCharType="end"/>
      </w:r>
    </w:p>
    <w:p w14:paraId="03A7FAB4">
      <w:pPr>
        <w:pStyle w:val="74"/>
        <w:tabs>
          <w:tab w:val="right" w:leader="dot" w:pos="9070"/>
        </w:tabs>
      </w:pPr>
      <w:r>
        <w:rPr>
          <w:rFonts w:ascii="宋体" w:hAnsi="宋体"/>
          <w:szCs w:val="21"/>
        </w:rPr>
        <w:fldChar w:fldCharType="begin"/>
      </w:r>
      <w:r>
        <w:rPr>
          <w:rFonts w:ascii="宋体" w:hAnsi="宋体"/>
          <w:szCs w:val="21"/>
        </w:rPr>
        <w:instrText xml:space="preserve"> HYPERLINK \l _Toc32595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9.5 </w:t>
      </w:r>
      <w:r>
        <w:rPr>
          <w:szCs w:val="21"/>
        </w:rPr>
        <w:t>试运行</w:t>
      </w:r>
      <w:r>
        <w:tab/>
      </w:r>
      <w:r>
        <w:fldChar w:fldCharType="begin"/>
      </w:r>
      <w:r>
        <w:instrText xml:space="preserve"> PAGEREF _Toc32595 \h </w:instrText>
      </w:r>
      <w:r>
        <w:fldChar w:fldCharType="separate"/>
      </w:r>
      <w:r>
        <w:t>30</w:t>
      </w:r>
      <w:r>
        <w:fldChar w:fldCharType="end"/>
      </w:r>
      <w:r>
        <w:rPr>
          <w:rFonts w:ascii="宋体" w:hAnsi="宋体"/>
          <w:szCs w:val="21"/>
        </w:rPr>
        <w:fldChar w:fldCharType="end"/>
      </w:r>
    </w:p>
    <w:p w14:paraId="56675809">
      <w:pPr>
        <w:pStyle w:val="74"/>
        <w:tabs>
          <w:tab w:val="right" w:leader="dot" w:pos="9070"/>
        </w:tabs>
      </w:pPr>
      <w:r>
        <w:rPr>
          <w:rFonts w:ascii="宋体" w:hAnsi="宋体"/>
          <w:szCs w:val="21"/>
        </w:rPr>
        <w:fldChar w:fldCharType="begin"/>
      </w:r>
      <w:r>
        <w:rPr>
          <w:rFonts w:ascii="宋体" w:hAnsi="宋体"/>
          <w:szCs w:val="21"/>
        </w:rPr>
        <w:instrText xml:space="preserve"> HYPERLINK \l _Toc965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9.6 </w:t>
      </w:r>
      <w:r>
        <w:rPr>
          <w:rFonts w:hint="eastAsia"/>
          <w:szCs w:val="21"/>
        </w:rPr>
        <w:t>资产登记</w:t>
      </w:r>
      <w:r>
        <w:tab/>
      </w:r>
      <w:r>
        <w:fldChar w:fldCharType="begin"/>
      </w:r>
      <w:r>
        <w:instrText xml:space="preserve"> PAGEREF _Toc965 \h </w:instrText>
      </w:r>
      <w:r>
        <w:fldChar w:fldCharType="separate"/>
      </w:r>
      <w:r>
        <w:t>30</w:t>
      </w:r>
      <w:r>
        <w:fldChar w:fldCharType="end"/>
      </w:r>
      <w:r>
        <w:rPr>
          <w:rFonts w:ascii="宋体" w:hAnsi="宋体"/>
          <w:szCs w:val="21"/>
        </w:rPr>
        <w:fldChar w:fldCharType="end"/>
      </w:r>
    </w:p>
    <w:p w14:paraId="2136E650">
      <w:pPr>
        <w:pStyle w:val="74"/>
        <w:tabs>
          <w:tab w:val="right" w:leader="dot" w:pos="9070"/>
        </w:tabs>
      </w:pPr>
      <w:r>
        <w:rPr>
          <w:rFonts w:ascii="宋体" w:hAnsi="宋体"/>
          <w:szCs w:val="21"/>
        </w:rPr>
        <w:fldChar w:fldCharType="begin"/>
      </w:r>
      <w:r>
        <w:rPr>
          <w:rFonts w:ascii="宋体" w:hAnsi="宋体"/>
          <w:szCs w:val="21"/>
        </w:rPr>
        <w:instrText xml:space="preserve"> HYPERLINK \l _Toc29646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9.7 </w:t>
      </w:r>
      <w:r>
        <w:rPr>
          <w:rFonts w:hint="eastAsia"/>
          <w:szCs w:val="21"/>
        </w:rPr>
        <w:t>竣工验收</w:t>
      </w:r>
      <w:r>
        <w:tab/>
      </w:r>
      <w:r>
        <w:fldChar w:fldCharType="begin"/>
      </w:r>
      <w:r>
        <w:instrText xml:space="preserve"> PAGEREF _Toc29646 \h </w:instrText>
      </w:r>
      <w:r>
        <w:fldChar w:fldCharType="separate"/>
      </w:r>
      <w:r>
        <w:t>30</w:t>
      </w:r>
      <w:r>
        <w:fldChar w:fldCharType="end"/>
      </w:r>
      <w:r>
        <w:rPr>
          <w:rFonts w:ascii="宋体" w:hAnsi="宋体"/>
          <w:szCs w:val="21"/>
        </w:rPr>
        <w:fldChar w:fldCharType="end"/>
      </w:r>
    </w:p>
    <w:p w14:paraId="42894B83">
      <w:pPr>
        <w:pStyle w:val="74"/>
        <w:tabs>
          <w:tab w:val="right" w:leader="dot" w:pos="9070"/>
        </w:tabs>
      </w:pPr>
      <w:r>
        <w:rPr>
          <w:rFonts w:ascii="宋体" w:hAnsi="宋体"/>
          <w:szCs w:val="21"/>
        </w:rPr>
        <w:fldChar w:fldCharType="begin"/>
      </w:r>
      <w:r>
        <w:rPr>
          <w:rFonts w:ascii="宋体" w:hAnsi="宋体"/>
          <w:szCs w:val="21"/>
        </w:rPr>
        <w:instrText xml:space="preserve"> HYPERLINK \l _Toc16514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9.8 </w:t>
      </w:r>
      <w:r>
        <w:rPr>
          <w:szCs w:val="21"/>
        </w:rPr>
        <w:t>质量保证期</w:t>
      </w:r>
      <w:r>
        <w:tab/>
      </w:r>
      <w:r>
        <w:fldChar w:fldCharType="begin"/>
      </w:r>
      <w:r>
        <w:instrText xml:space="preserve"> PAGEREF _Toc16514 \h </w:instrText>
      </w:r>
      <w:r>
        <w:fldChar w:fldCharType="separate"/>
      </w:r>
      <w:r>
        <w:t>31</w:t>
      </w:r>
      <w:r>
        <w:fldChar w:fldCharType="end"/>
      </w:r>
      <w:r>
        <w:rPr>
          <w:rFonts w:ascii="宋体" w:hAnsi="宋体"/>
          <w:szCs w:val="21"/>
        </w:rPr>
        <w:fldChar w:fldCharType="end"/>
      </w:r>
    </w:p>
    <w:p w14:paraId="1483400E">
      <w:pPr>
        <w:pStyle w:val="74"/>
        <w:tabs>
          <w:tab w:val="right" w:leader="dot" w:pos="9070"/>
        </w:tabs>
      </w:pPr>
      <w:r>
        <w:rPr>
          <w:rFonts w:ascii="宋体" w:hAnsi="宋体"/>
          <w:szCs w:val="21"/>
        </w:rPr>
        <w:fldChar w:fldCharType="begin"/>
      </w:r>
      <w:r>
        <w:rPr>
          <w:rFonts w:ascii="宋体" w:hAnsi="宋体"/>
          <w:szCs w:val="21"/>
        </w:rPr>
        <w:instrText xml:space="preserve"> HYPERLINK \l _Toc1323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9.9 </w:t>
      </w:r>
      <w:r>
        <w:rPr>
          <w:szCs w:val="21"/>
        </w:rPr>
        <w:t>最终验收</w:t>
      </w:r>
      <w:r>
        <w:tab/>
      </w:r>
      <w:r>
        <w:fldChar w:fldCharType="begin"/>
      </w:r>
      <w:r>
        <w:instrText xml:space="preserve"> PAGEREF _Toc1323 \h </w:instrText>
      </w:r>
      <w:r>
        <w:fldChar w:fldCharType="separate"/>
      </w:r>
      <w:r>
        <w:t>31</w:t>
      </w:r>
      <w:r>
        <w:fldChar w:fldCharType="end"/>
      </w:r>
      <w:r>
        <w:rPr>
          <w:rFonts w:ascii="宋体" w:hAnsi="宋体"/>
          <w:szCs w:val="21"/>
        </w:rPr>
        <w:fldChar w:fldCharType="end"/>
      </w:r>
    </w:p>
    <w:p w14:paraId="4C147F2E">
      <w:pPr>
        <w:pStyle w:val="59"/>
        <w:tabs>
          <w:tab w:val="right" w:leader="dot" w:pos="9070"/>
        </w:tabs>
      </w:pPr>
      <w:r>
        <w:rPr>
          <w:rFonts w:ascii="宋体" w:hAnsi="宋体"/>
          <w:szCs w:val="21"/>
        </w:rPr>
        <w:fldChar w:fldCharType="begin"/>
      </w:r>
      <w:r>
        <w:rPr>
          <w:rFonts w:ascii="宋体" w:hAnsi="宋体"/>
          <w:szCs w:val="21"/>
        </w:rPr>
        <w:instrText xml:space="preserve"> HYPERLINK \l _Toc29523 </w:instrText>
      </w:r>
      <w:r>
        <w:rPr>
          <w:rFonts w:ascii="宋体" w:hAnsi="宋体"/>
          <w:szCs w:val="21"/>
        </w:rPr>
        <w:fldChar w:fldCharType="separate"/>
      </w:r>
      <w:r>
        <w:rPr>
          <w:rFonts w:hint="eastAsia" w:ascii="Times New Roman" w:hAnsi="Times New Roman" w:eastAsia="宋体"/>
          <w:bCs/>
          <w:szCs w:val="21"/>
        </w:rPr>
        <w:t xml:space="preserve">10 </w:t>
      </w:r>
      <w:r>
        <w:rPr>
          <w:rFonts w:ascii="Times New Roman" w:hAnsi="Times New Roman" w:eastAsia="宋体"/>
          <w:bCs/>
          <w:szCs w:val="21"/>
        </w:rPr>
        <w:t>图纸、手册</w:t>
      </w:r>
      <w:r>
        <w:rPr>
          <w:rFonts w:hint="eastAsia" w:ascii="Times New Roman" w:hAnsi="Times New Roman" w:eastAsia="宋体"/>
          <w:bCs/>
          <w:szCs w:val="21"/>
        </w:rPr>
        <w:t>、软件</w:t>
      </w:r>
      <w:r>
        <w:rPr>
          <w:rFonts w:ascii="Times New Roman" w:hAnsi="Times New Roman" w:eastAsia="宋体"/>
          <w:bCs/>
          <w:szCs w:val="21"/>
        </w:rPr>
        <w:t>和技术文件</w:t>
      </w:r>
      <w:r>
        <w:tab/>
      </w:r>
      <w:r>
        <w:fldChar w:fldCharType="begin"/>
      </w:r>
      <w:r>
        <w:instrText xml:space="preserve"> PAGEREF _Toc29523 \h </w:instrText>
      </w:r>
      <w:r>
        <w:fldChar w:fldCharType="separate"/>
      </w:r>
      <w:r>
        <w:t>33</w:t>
      </w:r>
      <w:r>
        <w:fldChar w:fldCharType="end"/>
      </w:r>
      <w:r>
        <w:rPr>
          <w:rFonts w:ascii="宋体" w:hAnsi="宋体"/>
          <w:szCs w:val="21"/>
        </w:rPr>
        <w:fldChar w:fldCharType="end"/>
      </w:r>
    </w:p>
    <w:p w14:paraId="4E38B09E">
      <w:pPr>
        <w:pStyle w:val="74"/>
        <w:tabs>
          <w:tab w:val="right" w:leader="dot" w:pos="9070"/>
        </w:tabs>
      </w:pPr>
      <w:r>
        <w:rPr>
          <w:rFonts w:ascii="宋体" w:hAnsi="宋体"/>
          <w:szCs w:val="21"/>
        </w:rPr>
        <w:fldChar w:fldCharType="begin"/>
      </w:r>
      <w:r>
        <w:rPr>
          <w:rFonts w:ascii="宋体" w:hAnsi="宋体"/>
          <w:szCs w:val="21"/>
        </w:rPr>
        <w:instrText xml:space="preserve"> HYPERLINK \l _Toc32546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10.1 </w:t>
      </w:r>
      <w:r>
        <w:rPr>
          <w:szCs w:val="21"/>
        </w:rPr>
        <w:t>一般要求</w:t>
      </w:r>
      <w:r>
        <w:tab/>
      </w:r>
      <w:r>
        <w:fldChar w:fldCharType="begin"/>
      </w:r>
      <w:r>
        <w:instrText xml:space="preserve"> PAGEREF _Toc32546 \h </w:instrText>
      </w:r>
      <w:r>
        <w:fldChar w:fldCharType="separate"/>
      </w:r>
      <w:r>
        <w:t>33</w:t>
      </w:r>
      <w:r>
        <w:fldChar w:fldCharType="end"/>
      </w:r>
      <w:r>
        <w:rPr>
          <w:rFonts w:ascii="宋体" w:hAnsi="宋体"/>
          <w:szCs w:val="21"/>
        </w:rPr>
        <w:fldChar w:fldCharType="end"/>
      </w:r>
    </w:p>
    <w:p w14:paraId="0ABE9D04">
      <w:pPr>
        <w:pStyle w:val="74"/>
        <w:tabs>
          <w:tab w:val="right" w:leader="dot" w:pos="9070"/>
        </w:tabs>
      </w:pPr>
      <w:r>
        <w:rPr>
          <w:rFonts w:ascii="宋体" w:hAnsi="宋体"/>
          <w:szCs w:val="21"/>
        </w:rPr>
        <w:fldChar w:fldCharType="begin"/>
      </w:r>
      <w:r>
        <w:rPr>
          <w:rFonts w:ascii="宋体" w:hAnsi="宋体"/>
          <w:szCs w:val="21"/>
        </w:rPr>
        <w:instrText xml:space="preserve"> HYPERLINK \l _Toc30927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10.2 </w:t>
      </w:r>
      <w:r>
        <w:rPr>
          <w:szCs w:val="21"/>
        </w:rPr>
        <w:t>图纸、手册</w:t>
      </w:r>
      <w:r>
        <w:rPr>
          <w:rFonts w:hint="eastAsia"/>
          <w:szCs w:val="21"/>
        </w:rPr>
        <w:t>、软件</w:t>
      </w:r>
      <w:r>
        <w:rPr>
          <w:szCs w:val="21"/>
        </w:rPr>
        <w:t>和技术文件的确认</w:t>
      </w:r>
      <w:r>
        <w:tab/>
      </w:r>
      <w:r>
        <w:fldChar w:fldCharType="begin"/>
      </w:r>
      <w:r>
        <w:instrText xml:space="preserve"> PAGEREF _Toc30927 \h </w:instrText>
      </w:r>
      <w:r>
        <w:fldChar w:fldCharType="separate"/>
      </w:r>
      <w:r>
        <w:t>34</w:t>
      </w:r>
      <w:r>
        <w:fldChar w:fldCharType="end"/>
      </w:r>
      <w:r>
        <w:rPr>
          <w:rFonts w:ascii="宋体" w:hAnsi="宋体"/>
          <w:szCs w:val="21"/>
        </w:rPr>
        <w:fldChar w:fldCharType="end"/>
      </w:r>
    </w:p>
    <w:p w14:paraId="424D7DCB">
      <w:pPr>
        <w:pStyle w:val="74"/>
        <w:tabs>
          <w:tab w:val="right" w:leader="dot" w:pos="9070"/>
        </w:tabs>
      </w:pPr>
      <w:r>
        <w:rPr>
          <w:rFonts w:ascii="宋体" w:hAnsi="宋体"/>
          <w:szCs w:val="21"/>
        </w:rPr>
        <w:fldChar w:fldCharType="begin"/>
      </w:r>
      <w:r>
        <w:rPr>
          <w:rFonts w:ascii="宋体" w:hAnsi="宋体"/>
          <w:szCs w:val="21"/>
        </w:rPr>
        <w:instrText xml:space="preserve"> HYPERLINK \l _Toc5289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10.3 </w:t>
      </w:r>
      <w:r>
        <w:rPr>
          <w:szCs w:val="21"/>
        </w:rPr>
        <w:t>产品、系统设计图</w:t>
      </w:r>
      <w:r>
        <w:tab/>
      </w:r>
      <w:r>
        <w:fldChar w:fldCharType="begin"/>
      </w:r>
      <w:r>
        <w:instrText xml:space="preserve"> PAGEREF _Toc5289 \h </w:instrText>
      </w:r>
      <w:r>
        <w:fldChar w:fldCharType="separate"/>
      </w:r>
      <w:r>
        <w:t>35</w:t>
      </w:r>
      <w:r>
        <w:fldChar w:fldCharType="end"/>
      </w:r>
      <w:r>
        <w:rPr>
          <w:rFonts w:ascii="宋体" w:hAnsi="宋体"/>
          <w:szCs w:val="21"/>
        </w:rPr>
        <w:fldChar w:fldCharType="end"/>
      </w:r>
    </w:p>
    <w:p w14:paraId="4FA7DE21">
      <w:pPr>
        <w:pStyle w:val="74"/>
        <w:tabs>
          <w:tab w:val="right" w:leader="dot" w:pos="9070"/>
        </w:tabs>
      </w:pPr>
      <w:r>
        <w:rPr>
          <w:rFonts w:ascii="宋体" w:hAnsi="宋体"/>
          <w:szCs w:val="21"/>
        </w:rPr>
        <w:fldChar w:fldCharType="begin"/>
      </w:r>
      <w:r>
        <w:rPr>
          <w:rFonts w:ascii="宋体" w:hAnsi="宋体"/>
          <w:szCs w:val="21"/>
        </w:rPr>
        <w:instrText xml:space="preserve"> HYPERLINK \l _Toc17897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10.4 </w:t>
      </w:r>
      <w:r>
        <w:rPr>
          <w:szCs w:val="21"/>
        </w:rPr>
        <w:t>试验、检验规范书及测试和测试检验报告</w:t>
      </w:r>
      <w:r>
        <w:tab/>
      </w:r>
      <w:r>
        <w:fldChar w:fldCharType="begin"/>
      </w:r>
      <w:r>
        <w:instrText xml:space="preserve"> PAGEREF _Toc17897 \h </w:instrText>
      </w:r>
      <w:r>
        <w:fldChar w:fldCharType="separate"/>
      </w:r>
      <w:r>
        <w:t>35</w:t>
      </w:r>
      <w:r>
        <w:fldChar w:fldCharType="end"/>
      </w:r>
      <w:r>
        <w:rPr>
          <w:rFonts w:ascii="宋体" w:hAnsi="宋体"/>
          <w:szCs w:val="21"/>
        </w:rPr>
        <w:fldChar w:fldCharType="end"/>
      </w:r>
    </w:p>
    <w:p w14:paraId="5CD07C99">
      <w:pPr>
        <w:pStyle w:val="74"/>
        <w:tabs>
          <w:tab w:val="right" w:leader="dot" w:pos="9070"/>
        </w:tabs>
      </w:pPr>
      <w:r>
        <w:rPr>
          <w:rFonts w:ascii="宋体" w:hAnsi="宋体"/>
          <w:szCs w:val="21"/>
        </w:rPr>
        <w:fldChar w:fldCharType="begin"/>
      </w:r>
      <w:r>
        <w:rPr>
          <w:rFonts w:ascii="宋体" w:hAnsi="宋体"/>
          <w:szCs w:val="21"/>
        </w:rPr>
        <w:instrText xml:space="preserve"> HYPERLINK \l _Toc1395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10.5 </w:t>
      </w:r>
      <w:r>
        <w:rPr>
          <w:szCs w:val="21"/>
        </w:rPr>
        <w:t>竣工</w:t>
      </w:r>
      <w:r>
        <w:rPr>
          <w:rFonts w:hint="eastAsia"/>
          <w:szCs w:val="21"/>
        </w:rPr>
        <w:t>文件</w:t>
      </w:r>
      <w:r>
        <w:tab/>
      </w:r>
      <w:r>
        <w:fldChar w:fldCharType="begin"/>
      </w:r>
      <w:r>
        <w:instrText xml:space="preserve"> PAGEREF _Toc1395 \h </w:instrText>
      </w:r>
      <w:r>
        <w:fldChar w:fldCharType="separate"/>
      </w:r>
      <w:r>
        <w:t>35</w:t>
      </w:r>
      <w:r>
        <w:fldChar w:fldCharType="end"/>
      </w:r>
      <w:r>
        <w:rPr>
          <w:rFonts w:ascii="宋体" w:hAnsi="宋体"/>
          <w:szCs w:val="21"/>
        </w:rPr>
        <w:fldChar w:fldCharType="end"/>
      </w:r>
    </w:p>
    <w:p w14:paraId="30D4A7DC">
      <w:pPr>
        <w:pStyle w:val="74"/>
        <w:tabs>
          <w:tab w:val="right" w:leader="dot" w:pos="9070"/>
        </w:tabs>
      </w:pPr>
      <w:r>
        <w:rPr>
          <w:rFonts w:ascii="宋体" w:hAnsi="宋体"/>
          <w:szCs w:val="21"/>
        </w:rPr>
        <w:fldChar w:fldCharType="begin"/>
      </w:r>
      <w:r>
        <w:rPr>
          <w:rFonts w:ascii="宋体" w:hAnsi="宋体"/>
          <w:szCs w:val="21"/>
        </w:rPr>
        <w:instrText xml:space="preserve"> HYPERLINK \l _Toc26599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10.6 </w:t>
      </w:r>
      <w:r>
        <w:rPr>
          <w:szCs w:val="21"/>
        </w:rPr>
        <w:t>操作手册</w:t>
      </w:r>
      <w:r>
        <w:tab/>
      </w:r>
      <w:r>
        <w:fldChar w:fldCharType="begin"/>
      </w:r>
      <w:r>
        <w:instrText xml:space="preserve"> PAGEREF _Toc26599 \h </w:instrText>
      </w:r>
      <w:r>
        <w:fldChar w:fldCharType="separate"/>
      </w:r>
      <w:r>
        <w:t>36</w:t>
      </w:r>
      <w:r>
        <w:fldChar w:fldCharType="end"/>
      </w:r>
      <w:r>
        <w:rPr>
          <w:rFonts w:ascii="宋体" w:hAnsi="宋体"/>
          <w:szCs w:val="21"/>
        </w:rPr>
        <w:fldChar w:fldCharType="end"/>
      </w:r>
    </w:p>
    <w:p w14:paraId="1791C35F">
      <w:pPr>
        <w:pStyle w:val="74"/>
        <w:tabs>
          <w:tab w:val="right" w:leader="dot" w:pos="9070"/>
        </w:tabs>
      </w:pPr>
      <w:r>
        <w:rPr>
          <w:rFonts w:ascii="宋体" w:hAnsi="宋体"/>
          <w:szCs w:val="21"/>
        </w:rPr>
        <w:fldChar w:fldCharType="begin"/>
      </w:r>
      <w:r>
        <w:rPr>
          <w:rFonts w:ascii="宋体" w:hAnsi="宋体"/>
          <w:szCs w:val="21"/>
        </w:rPr>
        <w:instrText xml:space="preserve"> HYPERLINK \l _Toc19590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10.7 </w:t>
      </w:r>
      <w:r>
        <w:rPr>
          <w:szCs w:val="21"/>
        </w:rPr>
        <w:t>维修手册</w:t>
      </w:r>
      <w:r>
        <w:tab/>
      </w:r>
      <w:r>
        <w:fldChar w:fldCharType="begin"/>
      </w:r>
      <w:r>
        <w:instrText xml:space="preserve"> PAGEREF _Toc19590 \h </w:instrText>
      </w:r>
      <w:r>
        <w:fldChar w:fldCharType="separate"/>
      </w:r>
      <w:r>
        <w:t>36</w:t>
      </w:r>
      <w:r>
        <w:fldChar w:fldCharType="end"/>
      </w:r>
      <w:r>
        <w:rPr>
          <w:rFonts w:ascii="宋体" w:hAnsi="宋体"/>
          <w:szCs w:val="21"/>
        </w:rPr>
        <w:fldChar w:fldCharType="end"/>
      </w:r>
    </w:p>
    <w:p w14:paraId="1D0B150D">
      <w:pPr>
        <w:pStyle w:val="74"/>
        <w:tabs>
          <w:tab w:val="right" w:leader="dot" w:pos="9070"/>
        </w:tabs>
      </w:pPr>
      <w:r>
        <w:rPr>
          <w:rFonts w:ascii="宋体" w:hAnsi="宋体"/>
          <w:szCs w:val="21"/>
        </w:rPr>
        <w:fldChar w:fldCharType="begin"/>
      </w:r>
      <w:r>
        <w:rPr>
          <w:rFonts w:ascii="宋体" w:hAnsi="宋体"/>
          <w:szCs w:val="21"/>
        </w:rPr>
        <w:instrText xml:space="preserve"> HYPERLINK \l _Toc27947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10.8 </w:t>
      </w:r>
      <w:r>
        <w:rPr>
          <w:szCs w:val="21"/>
        </w:rPr>
        <w:t>最终技术文件</w:t>
      </w:r>
      <w:r>
        <w:tab/>
      </w:r>
      <w:r>
        <w:fldChar w:fldCharType="begin"/>
      </w:r>
      <w:r>
        <w:instrText xml:space="preserve"> PAGEREF _Toc27947 \h </w:instrText>
      </w:r>
      <w:r>
        <w:fldChar w:fldCharType="separate"/>
      </w:r>
      <w:r>
        <w:t>37</w:t>
      </w:r>
      <w:r>
        <w:fldChar w:fldCharType="end"/>
      </w:r>
      <w:r>
        <w:rPr>
          <w:rFonts w:ascii="宋体" w:hAnsi="宋体"/>
          <w:szCs w:val="21"/>
        </w:rPr>
        <w:fldChar w:fldCharType="end"/>
      </w:r>
    </w:p>
    <w:p w14:paraId="05958B85">
      <w:pPr>
        <w:pStyle w:val="74"/>
        <w:tabs>
          <w:tab w:val="right" w:leader="dot" w:pos="9070"/>
        </w:tabs>
      </w:pPr>
      <w:r>
        <w:rPr>
          <w:rFonts w:ascii="宋体" w:hAnsi="宋体"/>
          <w:szCs w:val="21"/>
        </w:rPr>
        <w:fldChar w:fldCharType="begin"/>
      </w:r>
      <w:r>
        <w:rPr>
          <w:rFonts w:ascii="宋体" w:hAnsi="宋体"/>
          <w:szCs w:val="21"/>
        </w:rPr>
        <w:instrText xml:space="preserve"> HYPERLINK \l _Toc2148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10.9 </w:t>
      </w:r>
      <w:r>
        <w:rPr>
          <w:rFonts w:hint="eastAsia"/>
          <w:szCs w:val="21"/>
        </w:rPr>
        <w:t>说明</w:t>
      </w:r>
      <w:r>
        <w:tab/>
      </w:r>
      <w:r>
        <w:fldChar w:fldCharType="begin"/>
      </w:r>
      <w:r>
        <w:instrText xml:space="preserve"> PAGEREF _Toc2148 \h </w:instrText>
      </w:r>
      <w:r>
        <w:fldChar w:fldCharType="separate"/>
      </w:r>
      <w:r>
        <w:t>37</w:t>
      </w:r>
      <w:r>
        <w:fldChar w:fldCharType="end"/>
      </w:r>
      <w:r>
        <w:rPr>
          <w:rFonts w:ascii="宋体" w:hAnsi="宋体"/>
          <w:szCs w:val="21"/>
        </w:rPr>
        <w:fldChar w:fldCharType="end"/>
      </w:r>
    </w:p>
    <w:p w14:paraId="2047C0EA">
      <w:pPr>
        <w:pStyle w:val="59"/>
        <w:tabs>
          <w:tab w:val="right" w:leader="dot" w:pos="9070"/>
        </w:tabs>
      </w:pPr>
      <w:r>
        <w:rPr>
          <w:rFonts w:ascii="宋体" w:hAnsi="宋体"/>
          <w:szCs w:val="21"/>
        </w:rPr>
        <w:fldChar w:fldCharType="begin"/>
      </w:r>
      <w:r>
        <w:rPr>
          <w:rFonts w:ascii="宋体" w:hAnsi="宋体"/>
          <w:szCs w:val="21"/>
        </w:rPr>
        <w:instrText xml:space="preserve"> HYPERLINK \l _Toc17711 </w:instrText>
      </w:r>
      <w:r>
        <w:rPr>
          <w:rFonts w:ascii="宋体" w:hAnsi="宋体"/>
          <w:szCs w:val="21"/>
        </w:rPr>
        <w:fldChar w:fldCharType="separate"/>
      </w:r>
      <w:r>
        <w:rPr>
          <w:rFonts w:hint="eastAsia" w:ascii="Times New Roman" w:hAnsi="Times New Roman" w:eastAsia="宋体"/>
          <w:bCs/>
          <w:szCs w:val="21"/>
        </w:rPr>
        <w:t xml:space="preserve">11 </w:t>
      </w:r>
      <w:r>
        <w:rPr>
          <w:rFonts w:ascii="Times New Roman" w:hAnsi="Times New Roman" w:eastAsia="宋体"/>
          <w:bCs/>
          <w:szCs w:val="21"/>
        </w:rPr>
        <w:t>培训</w:t>
      </w:r>
      <w:r>
        <w:tab/>
      </w:r>
      <w:r>
        <w:fldChar w:fldCharType="begin"/>
      </w:r>
      <w:r>
        <w:instrText xml:space="preserve"> PAGEREF _Toc17711 \h </w:instrText>
      </w:r>
      <w:r>
        <w:fldChar w:fldCharType="separate"/>
      </w:r>
      <w:r>
        <w:t>38</w:t>
      </w:r>
      <w:r>
        <w:fldChar w:fldCharType="end"/>
      </w:r>
      <w:r>
        <w:rPr>
          <w:rFonts w:ascii="宋体" w:hAnsi="宋体"/>
          <w:szCs w:val="21"/>
        </w:rPr>
        <w:fldChar w:fldCharType="end"/>
      </w:r>
    </w:p>
    <w:p w14:paraId="6961B02A">
      <w:pPr>
        <w:pStyle w:val="74"/>
        <w:tabs>
          <w:tab w:val="right" w:leader="dot" w:pos="9070"/>
        </w:tabs>
      </w:pPr>
      <w:r>
        <w:rPr>
          <w:rFonts w:ascii="宋体" w:hAnsi="宋体"/>
          <w:szCs w:val="21"/>
        </w:rPr>
        <w:fldChar w:fldCharType="begin"/>
      </w:r>
      <w:r>
        <w:rPr>
          <w:rFonts w:ascii="宋体" w:hAnsi="宋体"/>
          <w:szCs w:val="21"/>
        </w:rPr>
        <w:instrText xml:space="preserve"> HYPERLINK \l _Toc4507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11.1 </w:t>
      </w:r>
      <w:r>
        <w:rPr>
          <w:szCs w:val="21"/>
        </w:rPr>
        <w:t>培训目的</w:t>
      </w:r>
      <w:r>
        <w:tab/>
      </w:r>
      <w:r>
        <w:fldChar w:fldCharType="begin"/>
      </w:r>
      <w:r>
        <w:instrText xml:space="preserve"> PAGEREF _Toc4507 \h </w:instrText>
      </w:r>
      <w:r>
        <w:fldChar w:fldCharType="separate"/>
      </w:r>
      <w:r>
        <w:t>38</w:t>
      </w:r>
      <w:r>
        <w:fldChar w:fldCharType="end"/>
      </w:r>
      <w:r>
        <w:rPr>
          <w:rFonts w:ascii="宋体" w:hAnsi="宋体"/>
          <w:szCs w:val="21"/>
        </w:rPr>
        <w:fldChar w:fldCharType="end"/>
      </w:r>
    </w:p>
    <w:p w14:paraId="541FFF0C">
      <w:pPr>
        <w:pStyle w:val="74"/>
        <w:tabs>
          <w:tab w:val="right" w:leader="dot" w:pos="9070"/>
        </w:tabs>
      </w:pPr>
      <w:r>
        <w:rPr>
          <w:rFonts w:ascii="宋体" w:hAnsi="宋体"/>
          <w:szCs w:val="21"/>
        </w:rPr>
        <w:fldChar w:fldCharType="begin"/>
      </w:r>
      <w:r>
        <w:rPr>
          <w:rFonts w:ascii="宋体" w:hAnsi="宋体"/>
          <w:szCs w:val="21"/>
        </w:rPr>
        <w:instrText xml:space="preserve"> HYPERLINK \l _Toc22877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11.2 </w:t>
      </w:r>
      <w:r>
        <w:rPr>
          <w:rFonts w:hint="eastAsia"/>
          <w:szCs w:val="21"/>
        </w:rPr>
        <w:t>培训设备</w:t>
      </w:r>
      <w:r>
        <w:tab/>
      </w:r>
      <w:r>
        <w:fldChar w:fldCharType="begin"/>
      </w:r>
      <w:r>
        <w:instrText xml:space="preserve"> PAGEREF _Toc22877 \h </w:instrText>
      </w:r>
      <w:r>
        <w:fldChar w:fldCharType="separate"/>
      </w:r>
      <w:r>
        <w:t>38</w:t>
      </w:r>
      <w:r>
        <w:fldChar w:fldCharType="end"/>
      </w:r>
      <w:r>
        <w:rPr>
          <w:rFonts w:ascii="宋体" w:hAnsi="宋体"/>
          <w:szCs w:val="21"/>
        </w:rPr>
        <w:fldChar w:fldCharType="end"/>
      </w:r>
    </w:p>
    <w:p w14:paraId="7FCD3293">
      <w:pPr>
        <w:pStyle w:val="74"/>
        <w:tabs>
          <w:tab w:val="right" w:leader="dot" w:pos="9070"/>
        </w:tabs>
      </w:pPr>
      <w:r>
        <w:rPr>
          <w:rFonts w:ascii="宋体" w:hAnsi="宋体"/>
          <w:szCs w:val="21"/>
        </w:rPr>
        <w:fldChar w:fldCharType="begin"/>
      </w:r>
      <w:r>
        <w:rPr>
          <w:rFonts w:ascii="宋体" w:hAnsi="宋体"/>
          <w:szCs w:val="21"/>
        </w:rPr>
        <w:instrText xml:space="preserve"> HYPERLINK \l _Toc6841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11.3 </w:t>
      </w:r>
      <w:r>
        <w:rPr>
          <w:szCs w:val="21"/>
        </w:rPr>
        <w:t>培训计划和内容</w:t>
      </w:r>
      <w:r>
        <w:tab/>
      </w:r>
      <w:r>
        <w:fldChar w:fldCharType="begin"/>
      </w:r>
      <w:r>
        <w:instrText xml:space="preserve"> PAGEREF _Toc6841 \h </w:instrText>
      </w:r>
      <w:r>
        <w:fldChar w:fldCharType="separate"/>
      </w:r>
      <w:r>
        <w:t>38</w:t>
      </w:r>
      <w:r>
        <w:fldChar w:fldCharType="end"/>
      </w:r>
      <w:r>
        <w:rPr>
          <w:rFonts w:ascii="宋体" w:hAnsi="宋体"/>
          <w:szCs w:val="21"/>
        </w:rPr>
        <w:fldChar w:fldCharType="end"/>
      </w:r>
    </w:p>
    <w:p w14:paraId="5C380A9F">
      <w:pPr>
        <w:pStyle w:val="74"/>
        <w:tabs>
          <w:tab w:val="right" w:leader="dot" w:pos="9070"/>
        </w:tabs>
      </w:pPr>
      <w:r>
        <w:rPr>
          <w:rFonts w:ascii="宋体" w:hAnsi="宋体"/>
          <w:szCs w:val="21"/>
        </w:rPr>
        <w:fldChar w:fldCharType="begin"/>
      </w:r>
      <w:r>
        <w:rPr>
          <w:rFonts w:ascii="宋体" w:hAnsi="宋体"/>
          <w:szCs w:val="21"/>
        </w:rPr>
        <w:instrText xml:space="preserve"> HYPERLINK \l _Toc28075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11.4 </w:t>
      </w:r>
      <w:r>
        <w:rPr>
          <w:rFonts w:hint="eastAsia"/>
          <w:szCs w:val="21"/>
        </w:rPr>
        <w:t>原厂</w:t>
      </w:r>
      <w:r>
        <w:rPr>
          <w:szCs w:val="21"/>
        </w:rPr>
        <w:t>培训要求</w:t>
      </w:r>
      <w:r>
        <w:tab/>
      </w:r>
      <w:r>
        <w:fldChar w:fldCharType="begin"/>
      </w:r>
      <w:r>
        <w:instrText xml:space="preserve"> PAGEREF _Toc28075 \h </w:instrText>
      </w:r>
      <w:r>
        <w:fldChar w:fldCharType="separate"/>
      </w:r>
      <w:r>
        <w:t>38</w:t>
      </w:r>
      <w:r>
        <w:fldChar w:fldCharType="end"/>
      </w:r>
      <w:r>
        <w:rPr>
          <w:rFonts w:ascii="宋体" w:hAnsi="宋体"/>
          <w:szCs w:val="21"/>
        </w:rPr>
        <w:fldChar w:fldCharType="end"/>
      </w:r>
    </w:p>
    <w:p w14:paraId="71D56DD8">
      <w:pPr>
        <w:pStyle w:val="74"/>
        <w:tabs>
          <w:tab w:val="right" w:leader="dot" w:pos="9070"/>
        </w:tabs>
      </w:pPr>
      <w:r>
        <w:rPr>
          <w:rFonts w:ascii="宋体" w:hAnsi="宋体"/>
          <w:szCs w:val="21"/>
        </w:rPr>
        <w:fldChar w:fldCharType="begin"/>
      </w:r>
      <w:r>
        <w:rPr>
          <w:rFonts w:ascii="宋体" w:hAnsi="宋体"/>
          <w:szCs w:val="21"/>
        </w:rPr>
        <w:instrText xml:space="preserve"> HYPERLINK \l _Toc19702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11.5 </w:t>
      </w:r>
      <w:r>
        <w:rPr>
          <w:szCs w:val="21"/>
        </w:rPr>
        <w:t>现场培训要求</w:t>
      </w:r>
      <w:r>
        <w:tab/>
      </w:r>
      <w:r>
        <w:fldChar w:fldCharType="begin"/>
      </w:r>
      <w:r>
        <w:instrText xml:space="preserve"> PAGEREF _Toc19702 \h </w:instrText>
      </w:r>
      <w:r>
        <w:fldChar w:fldCharType="separate"/>
      </w:r>
      <w:r>
        <w:t>38</w:t>
      </w:r>
      <w:r>
        <w:fldChar w:fldCharType="end"/>
      </w:r>
      <w:r>
        <w:rPr>
          <w:rFonts w:ascii="宋体" w:hAnsi="宋体"/>
          <w:szCs w:val="21"/>
        </w:rPr>
        <w:fldChar w:fldCharType="end"/>
      </w:r>
    </w:p>
    <w:p w14:paraId="565B406C">
      <w:pPr>
        <w:pStyle w:val="74"/>
        <w:tabs>
          <w:tab w:val="right" w:leader="dot" w:pos="9070"/>
        </w:tabs>
      </w:pPr>
      <w:r>
        <w:rPr>
          <w:rFonts w:ascii="宋体" w:hAnsi="宋体"/>
          <w:szCs w:val="21"/>
        </w:rPr>
        <w:fldChar w:fldCharType="begin"/>
      </w:r>
      <w:r>
        <w:rPr>
          <w:rFonts w:ascii="宋体" w:hAnsi="宋体"/>
          <w:szCs w:val="21"/>
        </w:rPr>
        <w:instrText xml:space="preserve"> HYPERLINK \l _Toc3878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11.6 </w:t>
      </w:r>
      <w:r>
        <w:rPr>
          <w:szCs w:val="21"/>
        </w:rPr>
        <w:t>培训费用</w:t>
      </w:r>
      <w:r>
        <w:tab/>
      </w:r>
      <w:r>
        <w:fldChar w:fldCharType="begin"/>
      </w:r>
      <w:r>
        <w:instrText xml:space="preserve"> PAGEREF _Toc3878 \h </w:instrText>
      </w:r>
      <w:r>
        <w:fldChar w:fldCharType="separate"/>
      </w:r>
      <w:r>
        <w:t>39</w:t>
      </w:r>
      <w:r>
        <w:fldChar w:fldCharType="end"/>
      </w:r>
      <w:r>
        <w:rPr>
          <w:rFonts w:ascii="宋体" w:hAnsi="宋体"/>
          <w:szCs w:val="21"/>
        </w:rPr>
        <w:fldChar w:fldCharType="end"/>
      </w:r>
    </w:p>
    <w:p w14:paraId="79E93040">
      <w:pPr>
        <w:pStyle w:val="74"/>
        <w:tabs>
          <w:tab w:val="right" w:leader="dot" w:pos="9070"/>
        </w:tabs>
      </w:pPr>
      <w:r>
        <w:rPr>
          <w:rFonts w:ascii="宋体" w:hAnsi="宋体"/>
          <w:szCs w:val="21"/>
        </w:rPr>
        <w:fldChar w:fldCharType="begin"/>
      </w:r>
      <w:r>
        <w:rPr>
          <w:rFonts w:ascii="宋体" w:hAnsi="宋体"/>
          <w:szCs w:val="21"/>
        </w:rPr>
        <w:instrText xml:space="preserve"> HYPERLINK \l _Toc12047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11.7 </w:t>
      </w:r>
      <w:r>
        <w:rPr>
          <w:szCs w:val="21"/>
        </w:rPr>
        <w:t>培训测验和考试</w:t>
      </w:r>
      <w:r>
        <w:tab/>
      </w:r>
      <w:r>
        <w:fldChar w:fldCharType="begin"/>
      </w:r>
      <w:r>
        <w:instrText xml:space="preserve"> PAGEREF _Toc12047 \h </w:instrText>
      </w:r>
      <w:r>
        <w:fldChar w:fldCharType="separate"/>
      </w:r>
      <w:r>
        <w:t>39</w:t>
      </w:r>
      <w:r>
        <w:fldChar w:fldCharType="end"/>
      </w:r>
      <w:r>
        <w:rPr>
          <w:rFonts w:ascii="宋体" w:hAnsi="宋体"/>
          <w:szCs w:val="21"/>
        </w:rPr>
        <w:fldChar w:fldCharType="end"/>
      </w:r>
    </w:p>
    <w:p w14:paraId="0FA8628B">
      <w:pPr>
        <w:pStyle w:val="59"/>
        <w:tabs>
          <w:tab w:val="right" w:leader="dot" w:pos="9070"/>
        </w:tabs>
      </w:pPr>
      <w:r>
        <w:rPr>
          <w:rFonts w:ascii="宋体" w:hAnsi="宋体"/>
          <w:szCs w:val="21"/>
        </w:rPr>
        <w:fldChar w:fldCharType="begin"/>
      </w:r>
      <w:r>
        <w:rPr>
          <w:rFonts w:ascii="宋体" w:hAnsi="宋体"/>
          <w:szCs w:val="21"/>
        </w:rPr>
        <w:instrText xml:space="preserve"> HYPERLINK \l _Toc18390 </w:instrText>
      </w:r>
      <w:r>
        <w:rPr>
          <w:rFonts w:ascii="宋体" w:hAnsi="宋体"/>
          <w:szCs w:val="21"/>
        </w:rPr>
        <w:fldChar w:fldCharType="separate"/>
      </w:r>
      <w:r>
        <w:rPr>
          <w:rFonts w:hint="eastAsia" w:ascii="Times New Roman" w:hAnsi="Times New Roman" w:eastAsia="宋体"/>
          <w:bCs/>
          <w:szCs w:val="21"/>
        </w:rPr>
        <w:t>12 投标文件格式要求</w:t>
      </w:r>
      <w:r>
        <w:tab/>
      </w:r>
      <w:r>
        <w:fldChar w:fldCharType="begin"/>
      </w:r>
      <w:r>
        <w:instrText xml:space="preserve"> PAGEREF _Toc18390 \h </w:instrText>
      </w:r>
      <w:r>
        <w:fldChar w:fldCharType="separate"/>
      </w:r>
      <w:r>
        <w:t>40</w:t>
      </w:r>
      <w:r>
        <w:fldChar w:fldCharType="end"/>
      </w:r>
      <w:r>
        <w:rPr>
          <w:rFonts w:ascii="宋体" w:hAnsi="宋体"/>
          <w:szCs w:val="21"/>
        </w:rPr>
        <w:fldChar w:fldCharType="end"/>
      </w:r>
    </w:p>
    <w:p w14:paraId="7A29F35F">
      <w:pPr>
        <w:pStyle w:val="74"/>
        <w:tabs>
          <w:tab w:val="right" w:leader="dot" w:pos="9070"/>
        </w:tabs>
      </w:pPr>
      <w:r>
        <w:rPr>
          <w:rFonts w:ascii="宋体" w:hAnsi="宋体"/>
          <w:szCs w:val="21"/>
        </w:rPr>
        <w:fldChar w:fldCharType="begin"/>
      </w:r>
      <w:r>
        <w:rPr>
          <w:rFonts w:ascii="宋体" w:hAnsi="宋体"/>
          <w:szCs w:val="21"/>
        </w:rPr>
        <w:instrText xml:space="preserve"> HYPERLINK \l _Toc20525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 </w:t>
      </w:r>
      <w:r>
        <w:rPr>
          <w:szCs w:val="21"/>
        </w:rPr>
        <w:t>基本要求</w:t>
      </w:r>
      <w:r>
        <w:tab/>
      </w:r>
      <w:r>
        <w:fldChar w:fldCharType="begin"/>
      </w:r>
      <w:r>
        <w:instrText xml:space="preserve"> PAGEREF _Toc20525 \h </w:instrText>
      </w:r>
      <w:r>
        <w:fldChar w:fldCharType="separate"/>
      </w:r>
      <w:r>
        <w:t>40</w:t>
      </w:r>
      <w:r>
        <w:fldChar w:fldCharType="end"/>
      </w:r>
      <w:r>
        <w:rPr>
          <w:rFonts w:ascii="宋体" w:hAnsi="宋体"/>
          <w:szCs w:val="21"/>
        </w:rPr>
        <w:fldChar w:fldCharType="end"/>
      </w:r>
    </w:p>
    <w:p w14:paraId="5B620EF2">
      <w:pPr>
        <w:pStyle w:val="74"/>
        <w:tabs>
          <w:tab w:val="right" w:leader="dot" w:pos="9070"/>
        </w:tabs>
      </w:pPr>
      <w:r>
        <w:rPr>
          <w:rFonts w:ascii="宋体" w:hAnsi="宋体"/>
          <w:szCs w:val="21"/>
        </w:rPr>
        <w:fldChar w:fldCharType="begin"/>
      </w:r>
      <w:r>
        <w:rPr>
          <w:rFonts w:ascii="宋体" w:hAnsi="宋体"/>
          <w:szCs w:val="21"/>
        </w:rPr>
        <w:instrText xml:space="preserve"> HYPERLINK \l _Toc19092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12.2 </w:t>
      </w:r>
      <w:r>
        <w:rPr>
          <w:szCs w:val="21"/>
        </w:rPr>
        <w:t>采用的语言和单位制</w:t>
      </w:r>
      <w:r>
        <w:tab/>
      </w:r>
      <w:r>
        <w:fldChar w:fldCharType="begin"/>
      </w:r>
      <w:r>
        <w:instrText xml:space="preserve"> PAGEREF _Toc19092 \h </w:instrText>
      </w:r>
      <w:r>
        <w:fldChar w:fldCharType="separate"/>
      </w:r>
      <w:r>
        <w:t>40</w:t>
      </w:r>
      <w:r>
        <w:fldChar w:fldCharType="end"/>
      </w:r>
      <w:r>
        <w:rPr>
          <w:rFonts w:ascii="宋体" w:hAnsi="宋体"/>
          <w:szCs w:val="21"/>
        </w:rPr>
        <w:fldChar w:fldCharType="end"/>
      </w:r>
    </w:p>
    <w:p w14:paraId="05FC399A">
      <w:pPr>
        <w:pStyle w:val="74"/>
        <w:tabs>
          <w:tab w:val="right" w:leader="dot" w:pos="9070"/>
        </w:tabs>
      </w:pPr>
      <w:r>
        <w:rPr>
          <w:rFonts w:ascii="宋体" w:hAnsi="宋体"/>
          <w:szCs w:val="21"/>
        </w:rPr>
        <w:fldChar w:fldCharType="begin"/>
      </w:r>
      <w:r>
        <w:rPr>
          <w:rFonts w:ascii="宋体" w:hAnsi="宋体"/>
          <w:szCs w:val="21"/>
        </w:rPr>
        <w:instrText xml:space="preserve"> HYPERLINK \l _Toc16074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12.3 </w:t>
      </w:r>
      <w:r>
        <w:rPr>
          <w:szCs w:val="21"/>
        </w:rPr>
        <w:t>文件、图纸幅面的规定</w:t>
      </w:r>
      <w:r>
        <w:tab/>
      </w:r>
      <w:r>
        <w:fldChar w:fldCharType="begin"/>
      </w:r>
      <w:r>
        <w:instrText xml:space="preserve"> PAGEREF _Toc16074 \h </w:instrText>
      </w:r>
      <w:r>
        <w:fldChar w:fldCharType="separate"/>
      </w:r>
      <w:r>
        <w:t>40</w:t>
      </w:r>
      <w:r>
        <w:fldChar w:fldCharType="end"/>
      </w:r>
      <w:r>
        <w:rPr>
          <w:rFonts w:ascii="宋体" w:hAnsi="宋体"/>
          <w:szCs w:val="21"/>
        </w:rPr>
        <w:fldChar w:fldCharType="end"/>
      </w:r>
    </w:p>
    <w:p w14:paraId="08E69146">
      <w:pPr>
        <w:pStyle w:val="74"/>
        <w:tabs>
          <w:tab w:val="right" w:leader="dot" w:pos="9070"/>
        </w:tabs>
      </w:pPr>
      <w:r>
        <w:rPr>
          <w:rFonts w:ascii="宋体" w:hAnsi="宋体"/>
          <w:szCs w:val="21"/>
        </w:rPr>
        <w:fldChar w:fldCharType="begin"/>
      </w:r>
      <w:r>
        <w:rPr>
          <w:rFonts w:ascii="宋体" w:hAnsi="宋体"/>
          <w:szCs w:val="21"/>
        </w:rPr>
        <w:instrText xml:space="preserve"> HYPERLINK \l _Toc7889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12.4 </w:t>
      </w:r>
      <w:r>
        <w:rPr>
          <w:rFonts w:hint="eastAsia"/>
          <w:szCs w:val="21"/>
        </w:rPr>
        <w:t>格式</w:t>
      </w:r>
      <w:r>
        <w:rPr>
          <w:szCs w:val="21"/>
        </w:rPr>
        <w:t>要求</w:t>
      </w:r>
      <w:r>
        <w:tab/>
      </w:r>
      <w:r>
        <w:fldChar w:fldCharType="begin"/>
      </w:r>
      <w:r>
        <w:instrText xml:space="preserve"> PAGEREF _Toc7889 \h </w:instrText>
      </w:r>
      <w:r>
        <w:fldChar w:fldCharType="separate"/>
      </w:r>
      <w:r>
        <w:t>40</w:t>
      </w:r>
      <w:r>
        <w:fldChar w:fldCharType="end"/>
      </w:r>
      <w:r>
        <w:rPr>
          <w:rFonts w:ascii="宋体" w:hAnsi="宋体"/>
          <w:szCs w:val="21"/>
        </w:rPr>
        <w:fldChar w:fldCharType="end"/>
      </w:r>
    </w:p>
    <w:p w14:paraId="29278110">
      <w:pPr>
        <w:pStyle w:val="74"/>
        <w:tabs>
          <w:tab w:val="right" w:leader="dot" w:pos="9070"/>
        </w:tabs>
      </w:pPr>
      <w:r>
        <w:rPr>
          <w:rFonts w:ascii="宋体" w:hAnsi="宋体"/>
          <w:szCs w:val="21"/>
        </w:rPr>
        <w:fldChar w:fldCharType="begin"/>
      </w:r>
      <w:r>
        <w:rPr>
          <w:rFonts w:ascii="宋体" w:hAnsi="宋体"/>
          <w:szCs w:val="21"/>
        </w:rPr>
        <w:instrText xml:space="preserve"> HYPERLINK \l _Toc21490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12.5 </w:t>
      </w:r>
      <w:r>
        <w:rPr>
          <w:szCs w:val="21"/>
        </w:rPr>
        <w:t>技术规范偏离表内容</w:t>
      </w:r>
      <w:r>
        <w:tab/>
      </w:r>
      <w:r>
        <w:fldChar w:fldCharType="begin"/>
      </w:r>
      <w:r>
        <w:instrText xml:space="preserve"> PAGEREF _Toc21490 \h </w:instrText>
      </w:r>
      <w:r>
        <w:fldChar w:fldCharType="separate"/>
      </w:r>
      <w:r>
        <w:t>40</w:t>
      </w:r>
      <w:r>
        <w:fldChar w:fldCharType="end"/>
      </w:r>
      <w:r>
        <w:rPr>
          <w:rFonts w:ascii="宋体" w:hAnsi="宋体"/>
          <w:szCs w:val="21"/>
        </w:rPr>
        <w:fldChar w:fldCharType="end"/>
      </w:r>
    </w:p>
    <w:p w14:paraId="3347E37F">
      <w:pPr>
        <w:pStyle w:val="74"/>
        <w:tabs>
          <w:tab w:val="right" w:leader="dot" w:pos="9070"/>
        </w:tabs>
      </w:pPr>
      <w:r>
        <w:rPr>
          <w:rFonts w:ascii="宋体" w:hAnsi="宋体"/>
          <w:szCs w:val="21"/>
        </w:rPr>
        <w:fldChar w:fldCharType="begin"/>
      </w:r>
      <w:r>
        <w:rPr>
          <w:rFonts w:ascii="宋体" w:hAnsi="宋体"/>
          <w:szCs w:val="21"/>
        </w:rPr>
        <w:instrText xml:space="preserve"> HYPERLINK \l _Toc21345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12.6 </w:t>
      </w:r>
      <w:r>
        <w:rPr>
          <w:rFonts w:hint="eastAsia"/>
          <w:szCs w:val="21"/>
        </w:rPr>
        <w:t>技术建议书</w:t>
      </w:r>
      <w:r>
        <w:tab/>
      </w:r>
      <w:r>
        <w:fldChar w:fldCharType="begin"/>
      </w:r>
      <w:r>
        <w:instrText xml:space="preserve"> PAGEREF _Toc21345 \h </w:instrText>
      </w:r>
      <w:r>
        <w:fldChar w:fldCharType="separate"/>
      </w:r>
      <w:r>
        <w:t>41</w:t>
      </w:r>
      <w:r>
        <w:fldChar w:fldCharType="end"/>
      </w:r>
      <w:r>
        <w:rPr>
          <w:rFonts w:ascii="宋体" w:hAnsi="宋体"/>
          <w:szCs w:val="21"/>
        </w:rPr>
        <w:fldChar w:fldCharType="end"/>
      </w:r>
    </w:p>
    <w:p w14:paraId="26C2C8DF">
      <w:pPr>
        <w:pStyle w:val="74"/>
        <w:tabs>
          <w:tab w:val="right" w:leader="dot" w:pos="9070"/>
        </w:tabs>
      </w:pPr>
      <w:r>
        <w:rPr>
          <w:rFonts w:ascii="宋体" w:hAnsi="宋体"/>
          <w:szCs w:val="21"/>
        </w:rPr>
        <w:fldChar w:fldCharType="begin"/>
      </w:r>
      <w:r>
        <w:rPr>
          <w:rFonts w:ascii="宋体" w:hAnsi="宋体"/>
          <w:szCs w:val="21"/>
        </w:rPr>
        <w:instrText xml:space="preserve"> HYPERLINK \l _Toc23888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12.7 </w:t>
      </w:r>
      <w:r>
        <w:rPr>
          <w:szCs w:val="21"/>
        </w:rPr>
        <w:t>系统设备供货清单</w:t>
      </w:r>
      <w:r>
        <w:tab/>
      </w:r>
      <w:r>
        <w:fldChar w:fldCharType="begin"/>
      </w:r>
      <w:r>
        <w:instrText xml:space="preserve"> PAGEREF _Toc23888 \h </w:instrText>
      </w:r>
      <w:r>
        <w:fldChar w:fldCharType="separate"/>
      </w:r>
      <w:r>
        <w:t>41</w:t>
      </w:r>
      <w:r>
        <w:fldChar w:fldCharType="end"/>
      </w:r>
      <w:r>
        <w:rPr>
          <w:rFonts w:ascii="宋体" w:hAnsi="宋体"/>
          <w:szCs w:val="21"/>
        </w:rPr>
        <w:fldChar w:fldCharType="end"/>
      </w:r>
    </w:p>
    <w:p w14:paraId="185F9314">
      <w:pPr>
        <w:pStyle w:val="74"/>
        <w:tabs>
          <w:tab w:val="right" w:leader="dot" w:pos="9070"/>
        </w:tabs>
      </w:pPr>
      <w:r>
        <w:rPr>
          <w:rFonts w:ascii="宋体" w:hAnsi="宋体"/>
          <w:szCs w:val="21"/>
        </w:rPr>
        <w:fldChar w:fldCharType="begin"/>
      </w:r>
      <w:r>
        <w:rPr>
          <w:rFonts w:ascii="宋体" w:hAnsi="宋体"/>
          <w:szCs w:val="21"/>
        </w:rPr>
        <w:instrText xml:space="preserve"> HYPERLINK \l _Toc14528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12.8 </w:t>
      </w:r>
      <w:r>
        <w:rPr>
          <w:szCs w:val="21"/>
        </w:rPr>
        <w:t>项目实施进度计划</w:t>
      </w:r>
      <w:r>
        <w:tab/>
      </w:r>
      <w:r>
        <w:fldChar w:fldCharType="begin"/>
      </w:r>
      <w:r>
        <w:instrText xml:space="preserve"> PAGEREF _Toc14528 \h </w:instrText>
      </w:r>
      <w:r>
        <w:fldChar w:fldCharType="separate"/>
      </w:r>
      <w:r>
        <w:t>41</w:t>
      </w:r>
      <w:r>
        <w:fldChar w:fldCharType="end"/>
      </w:r>
      <w:r>
        <w:rPr>
          <w:rFonts w:ascii="宋体" w:hAnsi="宋体"/>
          <w:szCs w:val="21"/>
        </w:rPr>
        <w:fldChar w:fldCharType="end"/>
      </w:r>
    </w:p>
    <w:p w14:paraId="323E9008">
      <w:pPr>
        <w:pStyle w:val="74"/>
        <w:tabs>
          <w:tab w:val="right" w:leader="dot" w:pos="9070"/>
        </w:tabs>
      </w:pPr>
      <w:r>
        <w:rPr>
          <w:rFonts w:ascii="宋体" w:hAnsi="宋体"/>
          <w:szCs w:val="21"/>
        </w:rPr>
        <w:fldChar w:fldCharType="begin"/>
      </w:r>
      <w:r>
        <w:rPr>
          <w:rFonts w:ascii="宋体" w:hAnsi="宋体"/>
          <w:szCs w:val="21"/>
        </w:rPr>
        <w:instrText xml:space="preserve"> HYPERLINK \l _Toc17640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12.9 </w:t>
      </w:r>
      <w:r>
        <w:rPr>
          <w:szCs w:val="21"/>
        </w:rPr>
        <w:t>任务、职责范围及接口计划建议书</w:t>
      </w:r>
      <w:r>
        <w:tab/>
      </w:r>
      <w:r>
        <w:fldChar w:fldCharType="begin"/>
      </w:r>
      <w:r>
        <w:instrText xml:space="preserve"> PAGEREF _Toc17640 \h </w:instrText>
      </w:r>
      <w:r>
        <w:fldChar w:fldCharType="separate"/>
      </w:r>
      <w:r>
        <w:t>41</w:t>
      </w:r>
      <w:r>
        <w:fldChar w:fldCharType="end"/>
      </w:r>
      <w:r>
        <w:rPr>
          <w:rFonts w:ascii="宋体" w:hAnsi="宋体"/>
          <w:szCs w:val="21"/>
        </w:rPr>
        <w:fldChar w:fldCharType="end"/>
      </w:r>
    </w:p>
    <w:p w14:paraId="63A14B2F">
      <w:pPr>
        <w:pStyle w:val="74"/>
        <w:tabs>
          <w:tab w:val="right" w:leader="dot" w:pos="9070"/>
        </w:tabs>
      </w:pPr>
      <w:r>
        <w:rPr>
          <w:rFonts w:ascii="宋体" w:hAnsi="宋体"/>
          <w:szCs w:val="21"/>
        </w:rPr>
        <w:fldChar w:fldCharType="begin"/>
      </w:r>
      <w:r>
        <w:rPr>
          <w:rFonts w:ascii="宋体" w:hAnsi="宋体"/>
          <w:szCs w:val="21"/>
        </w:rPr>
        <w:instrText xml:space="preserve"> HYPERLINK \l _Toc26229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12.10 </w:t>
      </w:r>
      <w:r>
        <w:rPr>
          <w:szCs w:val="21"/>
        </w:rPr>
        <w:t>项目管理计划书</w:t>
      </w:r>
      <w:r>
        <w:tab/>
      </w:r>
      <w:r>
        <w:fldChar w:fldCharType="begin"/>
      </w:r>
      <w:r>
        <w:instrText xml:space="preserve"> PAGEREF _Toc26229 \h </w:instrText>
      </w:r>
      <w:r>
        <w:fldChar w:fldCharType="separate"/>
      </w:r>
      <w:r>
        <w:t>41</w:t>
      </w:r>
      <w:r>
        <w:fldChar w:fldCharType="end"/>
      </w:r>
      <w:r>
        <w:rPr>
          <w:rFonts w:ascii="宋体" w:hAnsi="宋体"/>
          <w:szCs w:val="21"/>
        </w:rPr>
        <w:fldChar w:fldCharType="end"/>
      </w:r>
    </w:p>
    <w:p w14:paraId="470EE7EB">
      <w:pPr>
        <w:pStyle w:val="74"/>
        <w:tabs>
          <w:tab w:val="right" w:leader="dot" w:pos="9070"/>
        </w:tabs>
      </w:pPr>
      <w:r>
        <w:rPr>
          <w:rFonts w:ascii="宋体" w:hAnsi="宋体"/>
          <w:szCs w:val="21"/>
        </w:rPr>
        <w:fldChar w:fldCharType="begin"/>
      </w:r>
      <w:r>
        <w:rPr>
          <w:rFonts w:ascii="宋体" w:hAnsi="宋体"/>
          <w:szCs w:val="21"/>
        </w:rPr>
        <w:instrText xml:space="preserve"> HYPERLINK \l _Toc2933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12.11 </w:t>
      </w:r>
      <w:r>
        <w:rPr>
          <w:szCs w:val="21"/>
        </w:rPr>
        <w:t>系统质量保证计划书</w:t>
      </w:r>
      <w:r>
        <w:tab/>
      </w:r>
      <w:r>
        <w:fldChar w:fldCharType="begin"/>
      </w:r>
      <w:r>
        <w:instrText xml:space="preserve"> PAGEREF _Toc2933 \h </w:instrText>
      </w:r>
      <w:r>
        <w:fldChar w:fldCharType="separate"/>
      </w:r>
      <w:r>
        <w:t>42</w:t>
      </w:r>
      <w:r>
        <w:fldChar w:fldCharType="end"/>
      </w:r>
      <w:r>
        <w:rPr>
          <w:rFonts w:ascii="宋体" w:hAnsi="宋体"/>
          <w:szCs w:val="21"/>
        </w:rPr>
        <w:fldChar w:fldCharType="end"/>
      </w:r>
    </w:p>
    <w:p w14:paraId="6C5CD01E">
      <w:pPr>
        <w:pStyle w:val="74"/>
        <w:tabs>
          <w:tab w:val="right" w:leader="dot" w:pos="9070"/>
        </w:tabs>
      </w:pPr>
      <w:r>
        <w:rPr>
          <w:rFonts w:ascii="宋体" w:hAnsi="宋体"/>
          <w:szCs w:val="21"/>
        </w:rPr>
        <w:fldChar w:fldCharType="begin"/>
      </w:r>
      <w:r>
        <w:rPr>
          <w:rFonts w:ascii="宋体" w:hAnsi="宋体"/>
          <w:szCs w:val="21"/>
        </w:rPr>
        <w:instrText xml:space="preserve"> HYPERLINK \l _Toc11378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12.12 </w:t>
      </w:r>
      <w:r>
        <w:rPr>
          <w:szCs w:val="21"/>
        </w:rPr>
        <w:t>测试、检验及验收计划建议书</w:t>
      </w:r>
      <w:r>
        <w:tab/>
      </w:r>
      <w:r>
        <w:fldChar w:fldCharType="begin"/>
      </w:r>
      <w:r>
        <w:instrText xml:space="preserve"> PAGEREF _Toc11378 \h </w:instrText>
      </w:r>
      <w:r>
        <w:fldChar w:fldCharType="separate"/>
      </w:r>
      <w:r>
        <w:t>42</w:t>
      </w:r>
      <w:r>
        <w:fldChar w:fldCharType="end"/>
      </w:r>
      <w:r>
        <w:rPr>
          <w:rFonts w:ascii="宋体" w:hAnsi="宋体"/>
          <w:szCs w:val="21"/>
        </w:rPr>
        <w:fldChar w:fldCharType="end"/>
      </w:r>
    </w:p>
    <w:p w14:paraId="020B9668">
      <w:pPr>
        <w:pStyle w:val="74"/>
        <w:tabs>
          <w:tab w:val="right" w:leader="dot" w:pos="9070"/>
        </w:tabs>
      </w:pPr>
      <w:r>
        <w:rPr>
          <w:rFonts w:ascii="宋体" w:hAnsi="宋体"/>
          <w:szCs w:val="21"/>
        </w:rPr>
        <w:fldChar w:fldCharType="begin"/>
      </w:r>
      <w:r>
        <w:rPr>
          <w:rFonts w:ascii="宋体" w:hAnsi="宋体"/>
          <w:szCs w:val="21"/>
        </w:rPr>
        <w:instrText xml:space="preserve"> HYPERLINK \l _Toc21173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12.13 </w:t>
      </w:r>
      <w:r>
        <w:rPr>
          <w:szCs w:val="21"/>
        </w:rPr>
        <w:t>图纸、手册和技术文件清单及说明</w:t>
      </w:r>
      <w:r>
        <w:tab/>
      </w:r>
      <w:r>
        <w:fldChar w:fldCharType="begin"/>
      </w:r>
      <w:r>
        <w:instrText xml:space="preserve"> PAGEREF _Toc21173 \h </w:instrText>
      </w:r>
      <w:r>
        <w:fldChar w:fldCharType="separate"/>
      </w:r>
      <w:r>
        <w:t>42</w:t>
      </w:r>
      <w:r>
        <w:fldChar w:fldCharType="end"/>
      </w:r>
      <w:r>
        <w:rPr>
          <w:rFonts w:ascii="宋体" w:hAnsi="宋体"/>
          <w:szCs w:val="21"/>
        </w:rPr>
        <w:fldChar w:fldCharType="end"/>
      </w:r>
    </w:p>
    <w:p w14:paraId="6BA02726">
      <w:pPr>
        <w:pStyle w:val="74"/>
        <w:tabs>
          <w:tab w:val="right" w:leader="dot" w:pos="9070"/>
        </w:tabs>
      </w:pPr>
      <w:r>
        <w:rPr>
          <w:rFonts w:ascii="宋体" w:hAnsi="宋体"/>
          <w:szCs w:val="21"/>
        </w:rPr>
        <w:fldChar w:fldCharType="begin"/>
      </w:r>
      <w:r>
        <w:rPr>
          <w:rFonts w:ascii="宋体" w:hAnsi="宋体"/>
          <w:szCs w:val="21"/>
        </w:rPr>
        <w:instrText xml:space="preserve"> HYPERLINK \l _Toc22699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12.14 </w:t>
      </w:r>
      <w:r>
        <w:rPr>
          <w:szCs w:val="21"/>
        </w:rPr>
        <w:t>培训建议书</w:t>
      </w:r>
      <w:r>
        <w:tab/>
      </w:r>
      <w:r>
        <w:fldChar w:fldCharType="begin"/>
      </w:r>
      <w:r>
        <w:instrText xml:space="preserve"> PAGEREF _Toc22699 \h </w:instrText>
      </w:r>
      <w:r>
        <w:fldChar w:fldCharType="separate"/>
      </w:r>
      <w:r>
        <w:t>42</w:t>
      </w:r>
      <w:r>
        <w:fldChar w:fldCharType="end"/>
      </w:r>
      <w:r>
        <w:rPr>
          <w:rFonts w:ascii="宋体" w:hAnsi="宋体"/>
          <w:szCs w:val="21"/>
        </w:rPr>
        <w:fldChar w:fldCharType="end"/>
      </w:r>
    </w:p>
    <w:p w14:paraId="78422544">
      <w:pPr>
        <w:pStyle w:val="74"/>
        <w:tabs>
          <w:tab w:val="right" w:leader="dot" w:pos="9070"/>
        </w:tabs>
      </w:pPr>
      <w:r>
        <w:rPr>
          <w:rFonts w:ascii="宋体" w:hAnsi="宋体"/>
          <w:szCs w:val="21"/>
        </w:rPr>
        <w:fldChar w:fldCharType="begin"/>
      </w:r>
      <w:r>
        <w:rPr>
          <w:rFonts w:ascii="宋体" w:hAnsi="宋体"/>
          <w:szCs w:val="21"/>
        </w:rPr>
        <w:instrText xml:space="preserve"> HYPERLINK \l _Toc24373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12.15 </w:t>
      </w:r>
      <w:r>
        <w:rPr>
          <w:rFonts w:hint="eastAsia"/>
          <w:szCs w:val="21"/>
        </w:rPr>
        <w:t>质保期内的运营维护</w:t>
      </w:r>
      <w:r>
        <w:tab/>
      </w:r>
      <w:r>
        <w:fldChar w:fldCharType="begin"/>
      </w:r>
      <w:r>
        <w:instrText xml:space="preserve"> PAGEREF _Toc24373 \h </w:instrText>
      </w:r>
      <w:r>
        <w:fldChar w:fldCharType="separate"/>
      </w:r>
      <w:r>
        <w:t>42</w:t>
      </w:r>
      <w:r>
        <w:fldChar w:fldCharType="end"/>
      </w:r>
      <w:r>
        <w:rPr>
          <w:rFonts w:ascii="宋体" w:hAnsi="宋体"/>
          <w:szCs w:val="21"/>
        </w:rPr>
        <w:fldChar w:fldCharType="end"/>
      </w:r>
    </w:p>
    <w:p w14:paraId="0556E161">
      <w:pPr>
        <w:pStyle w:val="74"/>
        <w:tabs>
          <w:tab w:val="right" w:leader="dot" w:pos="9070"/>
        </w:tabs>
      </w:pPr>
      <w:r>
        <w:rPr>
          <w:rFonts w:ascii="宋体" w:hAnsi="宋体"/>
          <w:szCs w:val="21"/>
        </w:rPr>
        <w:fldChar w:fldCharType="begin"/>
      </w:r>
      <w:r>
        <w:rPr>
          <w:rFonts w:ascii="宋体" w:hAnsi="宋体"/>
          <w:szCs w:val="21"/>
        </w:rPr>
        <w:instrText xml:space="preserve"> HYPERLINK \l _Toc14912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12.16 </w:t>
      </w:r>
      <w:r>
        <w:rPr>
          <w:rFonts w:hint="eastAsia"/>
          <w:szCs w:val="21"/>
        </w:rPr>
        <w:t>投标人的专项承诺</w:t>
      </w:r>
      <w:r>
        <w:tab/>
      </w:r>
      <w:r>
        <w:fldChar w:fldCharType="begin"/>
      </w:r>
      <w:r>
        <w:instrText xml:space="preserve"> PAGEREF _Toc14912 \h </w:instrText>
      </w:r>
      <w:r>
        <w:fldChar w:fldCharType="separate"/>
      </w:r>
      <w:r>
        <w:t>42</w:t>
      </w:r>
      <w:r>
        <w:fldChar w:fldCharType="end"/>
      </w:r>
      <w:r>
        <w:rPr>
          <w:rFonts w:ascii="宋体" w:hAnsi="宋体"/>
          <w:szCs w:val="21"/>
        </w:rPr>
        <w:fldChar w:fldCharType="end"/>
      </w:r>
    </w:p>
    <w:p w14:paraId="34BCF86C">
      <w:pPr>
        <w:pStyle w:val="74"/>
        <w:tabs>
          <w:tab w:val="right" w:leader="dot" w:pos="9070"/>
        </w:tabs>
      </w:pPr>
      <w:r>
        <w:rPr>
          <w:rFonts w:ascii="宋体" w:hAnsi="宋体"/>
          <w:szCs w:val="21"/>
        </w:rPr>
        <w:fldChar w:fldCharType="begin"/>
      </w:r>
      <w:r>
        <w:rPr>
          <w:rFonts w:ascii="宋体" w:hAnsi="宋体"/>
          <w:szCs w:val="21"/>
        </w:rPr>
        <w:instrText xml:space="preserve"> HYPERLINK \l _Toc30041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12.17 </w:t>
      </w:r>
      <w:r>
        <w:rPr>
          <w:szCs w:val="21"/>
        </w:rPr>
        <w:t>其他建议</w:t>
      </w:r>
      <w:r>
        <w:tab/>
      </w:r>
      <w:r>
        <w:fldChar w:fldCharType="begin"/>
      </w:r>
      <w:r>
        <w:instrText xml:space="preserve"> PAGEREF _Toc30041 \h </w:instrText>
      </w:r>
      <w:r>
        <w:fldChar w:fldCharType="separate"/>
      </w:r>
      <w:r>
        <w:t>42</w:t>
      </w:r>
      <w:r>
        <w:fldChar w:fldCharType="end"/>
      </w:r>
      <w:r>
        <w:rPr>
          <w:rFonts w:ascii="宋体" w:hAnsi="宋体"/>
          <w:szCs w:val="21"/>
        </w:rPr>
        <w:fldChar w:fldCharType="end"/>
      </w:r>
    </w:p>
    <w:p w14:paraId="7D1461BD">
      <w:pPr>
        <w:pStyle w:val="59"/>
        <w:tabs>
          <w:tab w:val="right" w:leader="dot" w:pos="9070"/>
        </w:tabs>
      </w:pPr>
      <w:r>
        <w:rPr>
          <w:rFonts w:ascii="宋体" w:hAnsi="宋体"/>
          <w:szCs w:val="21"/>
        </w:rPr>
        <w:fldChar w:fldCharType="begin"/>
      </w:r>
      <w:r>
        <w:rPr>
          <w:rFonts w:ascii="宋体" w:hAnsi="宋体"/>
          <w:szCs w:val="21"/>
        </w:rPr>
        <w:instrText xml:space="preserve"> HYPERLINK \l _Toc22232 </w:instrText>
      </w:r>
      <w:r>
        <w:rPr>
          <w:rFonts w:ascii="宋体" w:hAnsi="宋体"/>
          <w:szCs w:val="21"/>
        </w:rPr>
        <w:fldChar w:fldCharType="separate"/>
      </w:r>
      <w:r>
        <w:rPr>
          <w:rFonts w:hint="eastAsia"/>
          <w:szCs w:val="52"/>
        </w:rPr>
        <w:t>第二章专用技术要求</w:t>
      </w:r>
      <w:r>
        <w:tab/>
      </w:r>
      <w:r>
        <w:fldChar w:fldCharType="begin"/>
      </w:r>
      <w:r>
        <w:instrText xml:space="preserve"> PAGEREF _Toc22232 \h </w:instrText>
      </w:r>
      <w:r>
        <w:fldChar w:fldCharType="separate"/>
      </w:r>
      <w:r>
        <w:t>43</w:t>
      </w:r>
      <w:r>
        <w:fldChar w:fldCharType="end"/>
      </w:r>
      <w:r>
        <w:rPr>
          <w:rFonts w:ascii="宋体" w:hAnsi="宋体"/>
          <w:szCs w:val="21"/>
        </w:rPr>
        <w:fldChar w:fldCharType="end"/>
      </w:r>
    </w:p>
    <w:p w14:paraId="5679E9A2">
      <w:pPr>
        <w:pStyle w:val="59"/>
        <w:tabs>
          <w:tab w:val="right" w:leader="dot" w:pos="9070"/>
        </w:tabs>
      </w:pPr>
      <w:r>
        <w:rPr>
          <w:rFonts w:ascii="宋体" w:hAnsi="宋体"/>
          <w:szCs w:val="21"/>
        </w:rPr>
        <w:fldChar w:fldCharType="begin"/>
      </w:r>
      <w:r>
        <w:rPr>
          <w:rFonts w:ascii="宋体" w:hAnsi="宋体"/>
          <w:szCs w:val="21"/>
        </w:rPr>
        <w:instrText xml:space="preserve"> HYPERLINK \l _Toc21417 </w:instrText>
      </w:r>
      <w:r>
        <w:rPr>
          <w:rFonts w:ascii="宋体" w:hAnsi="宋体"/>
          <w:szCs w:val="21"/>
        </w:rPr>
        <w:fldChar w:fldCharType="separate"/>
      </w:r>
      <w:r>
        <w:rPr>
          <w:rFonts w:hint="eastAsia" w:ascii="宋体" w:hAnsi="宋体" w:eastAsia="宋体" w:cs="宋体"/>
          <w:bCs/>
          <w:szCs w:val="21"/>
        </w:rPr>
        <w:t xml:space="preserve">1 </w:t>
      </w:r>
      <w:r>
        <w:rPr>
          <w:rFonts w:hint="eastAsia" w:ascii="宋体" w:hAnsi="宋体" w:eastAsia="宋体" w:cs="宋体"/>
          <w:bCs/>
          <w:szCs w:val="21"/>
          <w:lang w:val="en-US"/>
        </w:rPr>
        <w:t>管理</w:t>
      </w:r>
      <w:r>
        <w:rPr>
          <w:rFonts w:hint="eastAsia" w:ascii="宋体" w:hAnsi="宋体" w:eastAsia="宋体" w:cs="宋体"/>
          <w:bCs/>
          <w:szCs w:val="21"/>
          <w:lang w:val="en-US" w:eastAsia="zh-CN"/>
        </w:rPr>
        <w:t>虚拟化平台</w:t>
      </w:r>
      <w:r>
        <w:rPr>
          <w:rFonts w:hint="eastAsia" w:ascii="宋体" w:hAnsi="宋体" w:eastAsia="宋体" w:cs="宋体"/>
          <w:bCs/>
          <w:szCs w:val="21"/>
        </w:rPr>
        <w:t>系统</w:t>
      </w:r>
      <w:r>
        <w:tab/>
      </w:r>
      <w:r>
        <w:fldChar w:fldCharType="begin"/>
      </w:r>
      <w:r>
        <w:instrText xml:space="preserve"> PAGEREF _Toc21417 \h </w:instrText>
      </w:r>
      <w:r>
        <w:fldChar w:fldCharType="separate"/>
      </w:r>
      <w:r>
        <w:t>44</w:t>
      </w:r>
      <w:r>
        <w:fldChar w:fldCharType="end"/>
      </w:r>
      <w:r>
        <w:rPr>
          <w:rFonts w:ascii="宋体" w:hAnsi="宋体"/>
          <w:szCs w:val="21"/>
        </w:rPr>
        <w:fldChar w:fldCharType="end"/>
      </w:r>
    </w:p>
    <w:p w14:paraId="018C839D">
      <w:pPr>
        <w:pStyle w:val="74"/>
        <w:tabs>
          <w:tab w:val="right" w:leader="dot" w:pos="9070"/>
        </w:tabs>
      </w:pPr>
      <w:r>
        <w:rPr>
          <w:rFonts w:ascii="宋体" w:hAnsi="宋体"/>
          <w:szCs w:val="21"/>
        </w:rPr>
        <w:fldChar w:fldCharType="begin"/>
      </w:r>
      <w:r>
        <w:rPr>
          <w:rFonts w:ascii="宋体" w:hAnsi="宋体"/>
          <w:szCs w:val="21"/>
        </w:rPr>
        <w:instrText xml:space="preserve"> HYPERLINK \l _Toc11319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 </w:t>
      </w:r>
      <w:r>
        <w:rPr>
          <w:rFonts w:hint="eastAsia"/>
          <w:szCs w:val="21"/>
        </w:rPr>
        <w:t>系统概述</w:t>
      </w:r>
      <w:r>
        <w:tab/>
      </w:r>
      <w:r>
        <w:fldChar w:fldCharType="begin"/>
      </w:r>
      <w:r>
        <w:instrText xml:space="preserve"> PAGEREF _Toc11319 \h </w:instrText>
      </w:r>
      <w:r>
        <w:fldChar w:fldCharType="separate"/>
      </w:r>
      <w:r>
        <w:t>44</w:t>
      </w:r>
      <w:r>
        <w:fldChar w:fldCharType="end"/>
      </w:r>
      <w:r>
        <w:rPr>
          <w:rFonts w:ascii="宋体" w:hAnsi="宋体"/>
          <w:szCs w:val="21"/>
        </w:rPr>
        <w:fldChar w:fldCharType="end"/>
      </w:r>
    </w:p>
    <w:p w14:paraId="289F4D1F">
      <w:pPr>
        <w:pStyle w:val="74"/>
        <w:tabs>
          <w:tab w:val="right" w:leader="dot" w:pos="9070"/>
        </w:tabs>
      </w:pPr>
      <w:r>
        <w:rPr>
          <w:rFonts w:ascii="宋体" w:hAnsi="宋体"/>
          <w:szCs w:val="21"/>
        </w:rPr>
        <w:fldChar w:fldCharType="begin"/>
      </w:r>
      <w:r>
        <w:rPr>
          <w:rFonts w:ascii="宋体" w:hAnsi="宋体"/>
          <w:szCs w:val="21"/>
        </w:rPr>
        <w:instrText xml:space="preserve"> HYPERLINK \l _Toc23742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 </w:t>
      </w:r>
      <w:r>
        <w:rPr>
          <w:szCs w:val="21"/>
        </w:rPr>
        <w:t>系统构成</w:t>
      </w:r>
      <w:r>
        <w:rPr>
          <w:rFonts w:hint="eastAsia"/>
          <w:szCs w:val="21"/>
        </w:rPr>
        <w:t>及功能</w:t>
      </w:r>
      <w:r>
        <w:tab/>
      </w:r>
      <w:r>
        <w:fldChar w:fldCharType="begin"/>
      </w:r>
      <w:r>
        <w:instrText xml:space="preserve"> PAGEREF _Toc23742 \h </w:instrText>
      </w:r>
      <w:r>
        <w:fldChar w:fldCharType="separate"/>
      </w:r>
      <w:r>
        <w:t>44</w:t>
      </w:r>
      <w:r>
        <w:fldChar w:fldCharType="end"/>
      </w:r>
      <w:r>
        <w:rPr>
          <w:rFonts w:ascii="宋体" w:hAnsi="宋体"/>
          <w:szCs w:val="21"/>
        </w:rPr>
        <w:fldChar w:fldCharType="end"/>
      </w:r>
    </w:p>
    <w:p w14:paraId="4AB15054">
      <w:pPr>
        <w:pStyle w:val="74"/>
        <w:tabs>
          <w:tab w:val="right" w:leader="dot" w:pos="9070"/>
        </w:tabs>
      </w:pPr>
      <w:r>
        <w:rPr>
          <w:rFonts w:ascii="宋体" w:hAnsi="宋体"/>
          <w:szCs w:val="21"/>
        </w:rPr>
        <w:fldChar w:fldCharType="begin"/>
      </w:r>
      <w:r>
        <w:rPr>
          <w:rFonts w:ascii="宋体" w:hAnsi="宋体"/>
          <w:szCs w:val="21"/>
        </w:rPr>
        <w:instrText xml:space="preserve"> HYPERLINK \l _Toc26378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1.3 </w:t>
      </w:r>
      <w:r>
        <w:rPr>
          <w:rFonts w:hint="eastAsia"/>
          <w:szCs w:val="21"/>
          <w:lang w:val="en-US"/>
        </w:rPr>
        <w:t>主要技术要求及指标</w:t>
      </w:r>
      <w:r>
        <w:tab/>
      </w:r>
      <w:r>
        <w:fldChar w:fldCharType="begin"/>
      </w:r>
      <w:r>
        <w:instrText xml:space="preserve"> PAGEREF _Toc26378 \h </w:instrText>
      </w:r>
      <w:r>
        <w:fldChar w:fldCharType="separate"/>
      </w:r>
      <w:r>
        <w:t>49</w:t>
      </w:r>
      <w:r>
        <w:fldChar w:fldCharType="end"/>
      </w:r>
      <w:r>
        <w:rPr>
          <w:rFonts w:ascii="宋体" w:hAnsi="宋体"/>
          <w:szCs w:val="21"/>
        </w:rPr>
        <w:fldChar w:fldCharType="end"/>
      </w:r>
    </w:p>
    <w:p w14:paraId="74D8CBE6">
      <w:pPr>
        <w:pStyle w:val="74"/>
        <w:tabs>
          <w:tab w:val="right" w:leader="dot" w:pos="9070"/>
        </w:tabs>
      </w:pPr>
      <w:r>
        <w:rPr>
          <w:rFonts w:ascii="宋体" w:hAnsi="宋体"/>
          <w:szCs w:val="21"/>
        </w:rPr>
        <w:fldChar w:fldCharType="begin"/>
      </w:r>
      <w:r>
        <w:rPr>
          <w:rFonts w:ascii="宋体" w:hAnsi="宋体"/>
          <w:szCs w:val="21"/>
        </w:rPr>
        <w:instrText xml:space="preserve"> HYPERLINK \l _Toc21812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1.4 </w:t>
      </w:r>
      <w:r>
        <w:rPr>
          <w:rFonts w:hint="eastAsia"/>
          <w:szCs w:val="21"/>
        </w:rPr>
        <w:t>供电及接地要求</w:t>
      </w:r>
      <w:r>
        <w:tab/>
      </w:r>
      <w:r>
        <w:fldChar w:fldCharType="begin"/>
      </w:r>
      <w:r>
        <w:instrText xml:space="preserve"> PAGEREF _Toc21812 \h </w:instrText>
      </w:r>
      <w:r>
        <w:fldChar w:fldCharType="separate"/>
      </w:r>
      <w:r>
        <w:t>53</w:t>
      </w:r>
      <w:r>
        <w:fldChar w:fldCharType="end"/>
      </w:r>
      <w:r>
        <w:rPr>
          <w:rFonts w:ascii="宋体" w:hAnsi="宋体"/>
          <w:szCs w:val="21"/>
        </w:rPr>
        <w:fldChar w:fldCharType="end"/>
      </w:r>
    </w:p>
    <w:p w14:paraId="39E4CB88">
      <w:pPr>
        <w:pStyle w:val="59"/>
        <w:tabs>
          <w:tab w:val="right" w:leader="dot" w:pos="9070"/>
        </w:tabs>
      </w:pPr>
      <w:r>
        <w:rPr>
          <w:rFonts w:ascii="宋体" w:hAnsi="宋体"/>
          <w:szCs w:val="21"/>
        </w:rPr>
        <w:fldChar w:fldCharType="begin"/>
      </w:r>
      <w:r>
        <w:rPr>
          <w:rFonts w:ascii="宋体" w:hAnsi="宋体"/>
          <w:szCs w:val="21"/>
        </w:rPr>
        <w:instrText xml:space="preserve"> HYPERLINK \l _Toc377 </w:instrText>
      </w:r>
      <w:r>
        <w:rPr>
          <w:rFonts w:ascii="宋体" w:hAnsi="宋体"/>
          <w:szCs w:val="21"/>
        </w:rPr>
        <w:fldChar w:fldCharType="separate"/>
      </w:r>
      <w:r>
        <w:rPr>
          <w:rFonts w:hint="eastAsia"/>
          <w:szCs w:val="52"/>
        </w:rPr>
        <w:t>第三章接口技术要求</w:t>
      </w:r>
      <w:r>
        <w:tab/>
      </w:r>
      <w:r>
        <w:fldChar w:fldCharType="begin"/>
      </w:r>
      <w:r>
        <w:instrText xml:space="preserve"> PAGEREF _Toc377 \h </w:instrText>
      </w:r>
      <w:r>
        <w:fldChar w:fldCharType="separate"/>
      </w:r>
      <w:r>
        <w:t>54</w:t>
      </w:r>
      <w:r>
        <w:fldChar w:fldCharType="end"/>
      </w:r>
      <w:r>
        <w:rPr>
          <w:rFonts w:ascii="宋体" w:hAnsi="宋体"/>
          <w:szCs w:val="21"/>
        </w:rPr>
        <w:fldChar w:fldCharType="end"/>
      </w:r>
    </w:p>
    <w:p w14:paraId="4322C311">
      <w:pPr>
        <w:pStyle w:val="59"/>
        <w:tabs>
          <w:tab w:val="right" w:leader="dot" w:pos="9070"/>
        </w:tabs>
      </w:pPr>
      <w:r>
        <w:rPr>
          <w:rFonts w:ascii="宋体" w:hAnsi="宋体"/>
          <w:szCs w:val="21"/>
        </w:rPr>
        <w:fldChar w:fldCharType="begin"/>
      </w:r>
      <w:r>
        <w:rPr>
          <w:rFonts w:ascii="宋体" w:hAnsi="宋体"/>
          <w:szCs w:val="21"/>
        </w:rPr>
        <w:instrText xml:space="preserve"> HYPERLINK \l _Toc32399 </w:instrText>
      </w:r>
      <w:r>
        <w:rPr>
          <w:rFonts w:ascii="宋体" w:hAnsi="宋体"/>
          <w:szCs w:val="21"/>
        </w:rPr>
        <w:fldChar w:fldCharType="separate"/>
      </w:r>
      <w:r>
        <w:rPr>
          <w:rFonts w:hint="eastAsia" w:ascii="Times New Roman" w:hAnsi="Times New Roman" w:eastAsia="宋体"/>
          <w:bCs/>
          <w:szCs w:val="21"/>
        </w:rPr>
        <w:t>1 总则</w:t>
      </w:r>
      <w:r>
        <w:tab/>
      </w:r>
      <w:r>
        <w:fldChar w:fldCharType="begin"/>
      </w:r>
      <w:r>
        <w:instrText xml:space="preserve"> PAGEREF _Toc32399 \h </w:instrText>
      </w:r>
      <w:r>
        <w:fldChar w:fldCharType="separate"/>
      </w:r>
      <w:r>
        <w:t>55</w:t>
      </w:r>
      <w:r>
        <w:fldChar w:fldCharType="end"/>
      </w:r>
      <w:r>
        <w:rPr>
          <w:rFonts w:ascii="宋体" w:hAnsi="宋体"/>
          <w:szCs w:val="21"/>
        </w:rPr>
        <w:fldChar w:fldCharType="end"/>
      </w:r>
    </w:p>
    <w:p w14:paraId="5DF6BF3B">
      <w:pPr>
        <w:pStyle w:val="74"/>
        <w:tabs>
          <w:tab w:val="right" w:leader="dot" w:pos="9070"/>
        </w:tabs>
      </w:pPr>
      <w:r>
        <w:rPr>
          <w:rFonts w:ascii="宋体" w:hAnsi="宋体"/>
          <w:szCs w:val="21"/>
        </w:rPr>
        <w:fldChar w:fldCharType="begin"/>
      </w:r>
      <w:r>
        <w:rPr>
          <w:rFonts w:ascii="宋体" w:hAnsi="宋体"/>
          <w:szCs w:val="21"/>
        </w:rPr>
        <w:instrText xml:space="preserve"> HYPERLINK \l _Toc3853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 </w:t>
      </w:r>
      <w:r>
        <w:rPr>
          <w:rFonts w:hint="eastAsia"/>
          <w:szCs w:val="21"/>
        </w:rPr>
        <w:t>基本要求</w:t>
      </w:r>
      <w:r>
        <w:tab/>
      </w:r>
      <w:r>
        <w:fldChar w:fldCharType="begin"/>
      </w:r>
      <w:r>
        <w:instrText xml:space="preserve"> PAGEREF _Toc3853 \h </w:instrText>
      </w:r>
      <w:r>
        <w:fldChar w:fldCharType="separate"/>
      </w:r>
      <w:r>
        <w:t>55</w:t>
      </w:r>
      <w:r>
        <w:fldChar w:fldCharType="end"/>
      </w:r>
      <w:r>
        <w:rPr>
          <w:rFonts w:ascii="宋体" w:hAnsi="宋体"/>
          <w:szCs w:val="21"/>
        </w:rPr>
        <w:fldChar w:fldCharType="end"/>
      </w:r>
    </w:p>
    <w:p w14:paraId="5363D1BB">
      <w:pPr>
        <w:pStyle w:val="74"/>
        <w:tabs>
          <w:tab w:val="right" w:leader="dot" w:pos="9070"/>
        </w:tabs>
      </w:pPr>
      <w:r>
        <w:rPr>
          <w:rFonts w:ascii="宋体" w:hAnsi="宋体"/>
          <w:szCs w:val="21"/>
        </w:rPr>
        <w:fldChar w:fldCharType="begin"/>
      </w:r>
      <w:r>
        <w:rPr>
          <w:rFonts w:ascii="宋体" w:hAnsi="宋体"/>
          <w:szCs w:val="21"/>
        </w:rPr>
        <w:instrText xml:space="preserve"> HYPERLINK \l _Toc24062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1.2 </w:t>
      </w:r>
      <w:r>
        <w:rPr>
          <w:rFonts w:hint="eastAsia"/>
          <w:szCs w:val="21"/>
        </w:rPr>
        <w:t>专业名称与代码</w:t>
      </w:r>
      <w:r>
        <w:tab/>
      </w:r>
      <w:r>
        <w:fldChar w:fldCharType="begin"/>
      </w:r>
      <w:r>
        <w:instrText xml:space="preserve"> PAGEREF _Toc24062 \h </w:instrText>
      </w:r>
      <w:r>
        <w:fldChar w:fldCharType="separate"/>
      </w:r>
      <w:r>
        <w:t>55</w:t>
      </w:r>
      <w:r>
        <w:fldChar w:fldCharType="end"/>
      </w:r>
      <w:r>
        <w:rPr>
          <w:rFonts w:ascii="宋体" w:hAnsi="宋体"/>
          <w:szCs w:val="21"/>
        </w:rPr>
        <w:fldChar w:fldCharType="end"/>
      </w:r>
    </w:p>
    <w:p w14:paraId="5E4E3D84">
      <w:pPr>
        <w:pStyle w:val="74"/>
        <w:tabs>
          <w:tab w:val="right" w:leader="dot" w:pos="9070"/>
        </w:tabs>
      </w:pPr>
      <w:r>
        <w:rPr>
          <w:rFonts w:ascii="宋体" w:hAnsi="宋体"/>
          <w:szCs w:val="21"/>
        </w:rPr>
        <w:fldChar w:fldCharType="begin"/>
      </w:r>
      <w:r>
        <w:rPr>
          <w:rFonts w:ascii="宋体" w:hAnsi="宋体"/>
          <w:szCs w:val="21"/>
        </w:rPr>
        <w:instrText xml:space="preserve"> HYPERLINK \l _Toc26848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1.3 </w:t>
      </w:r>
      <w:r>
        <w:rPr>
          <w:rFonts w:hint="eastAsia"/>
          <w:szCs w:val="21"/>
        </w:rPr>
        <w:t>接口工作范围</w:t>
      </w:r>
      <w:r>
        <w:tab/>
      </w:r>
      <w:r>
        <w:fldChar w:fldCharType="begin"/>
      </w:r>
      <w:r>
        <w:instrText xml:space="preserve"> PAGEREF _Toc26848 \h </w:instrText>
      </w:r>
      <w:r>
        <w:fldChar w:fldCharType="separate"/>
      </w:r>
      <w:r>
        <w:t>55</w:t>
      </w:r>
      <w:r>
        <w:fldChar w:fldCharType="end"/>
      </w:r>
      <w:r>
        <w:rPr>
          <w:rFonts w:ascii="宋体" w:hAnsi="宋体"/>
          <w:szCs w:val="21"/>
        </w:rPr>
        <w:fldChar w:fldCharType="end"/>
      </w:r>
    </w:p>
    <w:p w14:paraId="6032FB23">
      <w:pPr>
        <w:pStyle w:val="74"/>
        <w:tabs>
          <w:tab w:val="right" w:leader="dot" w:pos="9070"/>
        </w:tabs>
      </w:pPr>
      <w:r>
        <w:rPr>
          <w:rFonts w:ascii="宋体" w:hAnsi="宋体"/>
          <w:szCs w:val="21"/>
        </w:rPr>
        <w:fldChar w:fldCharType="begin"/>
      </w:r>
      <w:r>
        <w:rPr>
          <w:rFonts w:ascii="宋体" w:hAnsi="宋体"/>
          <w:szCs w:val="21"/>
        </w:rPr>
        <w:instrText xml:space="preserve"> HYPERLINK \l _Toc13902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1.4 </w:t>
      </w:r>
      <w:r>
        <w:rPr>
          <w:rFonts w:hint="eastAsia"/>
          <w:szCs w:val="21"/>
        </w:rPr>
        <w:t>接口责任</w:t>
      </w:r>
      <w:r>
        <w:tab/>
      </w:r>
      <w:r>
        <w:fldChar w:fldCharType="begin"/>
      </w:r>
      <w:r>
        <w:instrText xml:space="preserve"> PAGEREF _Toc13902 \h </w:instrText>
      </w:r>
      <w:r>
        <w:fldChar w:fldCharType="separate"/>
      </w:r>
      <w:r>
        <w:t>55</w:t>
      </w:r>
      <w:r>
        <w:fldChar w:fldCharType="end"/>
      </w:r>
      <w:r>
        <w:rPr>
          <w:rFonts w:ascii="宋体" w:hAnsi="宋体"/>
          <w:szCs w:val="21"/>
        </w:rPr>
        <w:fldChar w:fldCharType="end"/>
      </w:r>
    </w:p>
    <w:p w14:paraId="028600C6">
      <w:pPr>
        <w:pStyle w:val="59"/>
        <w:tabs>
          <w:tab w:val="right" w:leader="dot" w:pos="9070"/>
        </w:tabs>
      </w:pPr>
      <w:r>
        <w:rPr>
          <w:rFonts w:ascii="宋体" w:hAnsi="宋体"/>
          <w:szCs w:val="21"/>
        </w:rPr>
        <w:fldChar w:fldCharType="begin"/>
      </w:r>
      <w:r>
        <w:rPr>
          <w:rFonts w:ascii="宋体" w:hAnsi="宋体"/>
          <w:szCs w:val="21"/>
        </w:rPr>
        <w:instrText xml:space="preserve"> HYPERLINK \l _Toc17460 </w:instrText>
      </w:r>
      <w:r>
        <w:rPr>
          <w:rFonts w:ascii="宋体" w:hAnsi="宋体"/>
          <w:szCs w:val="21"/>
        </w:rPr>
        <w:fldChar w:fldCharType="separate"/>
      </w:r>
      <w:r>
        <w:rPr>
          <w:rFonts w:hint="eastAsia" w:ascii="Times New Roman" w:hAnsi="Times New Roman" w:eastAsia="宋体"/>
          <w:bCs/>
          <w:szCs w:val="21"/>
        </w:rPr>
        <w:t>2 设备系统接口</w:t>
      </w:r>
      <w:r>
        <w:tab/>
      </w:r>
      <w:r>
        <w:fldChar w:fldCharType="begin"/>
      </w:r>
      <w:r>
        <w:instrText xml:space="preserve"> PAGEREF _Toc17460 \h </w:instrText>
      </w:r>
      <w:r>
        <w:fldChar w:fldCharType="separate"/>
      </w:r>
      <w:r>
        <w:t>57</w:t>
      </w:r>
      <w:r>
        <w:fldChar w:fldCharType="end"/>
      </w:r>
      <w:r>
        <w:rPr>
          <w:rFonts w:ascii="宋体" w:hAnsi="宋体"/>
          <w:szCs w:val="21"/>
        </w:rPr>
        <w:fldChar w:fldCharType="end"/>
      </w:r>
    </w:p>
    <w:p w14:paraId="4E042A38">
      <w:pPr>
        <w:pStyle w:val="74"/>
        <w:tabs>
          <w:tab w:val="right" w:leader="dot" w:pos="9070"/>
        </w:tabs>
      </w:pPr>
      <w:r>
        <w:rPr>
          <w:rFonts w:ascii="宋体" w:hAnsi="宋体"/>
          <w:szCs w:val="21"/>
        </w:rPr>
        <w:fldChar w:fldCharType="begin"/>
      </w:r>
      <w:r>
        <w:rPr>
          <w:rFonts w:ascii="宋体" w:hAnsi="宋体"/>
          <w:szCs w:val="21"/>
        </w:rPr>
        <w:instrText xml:space="preserve"> HYPERLINK \l _Toc13987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2.1 </w:t>
      </w:r>
      <w:r>
        <w:rPr>
          <w:rFonts w:hint="eastAsia"/>
          <w:szCs w:val="21"/>
          <w:lang w:val="en-US"/>
        </w:rPr>
        <w:t>与</w:t>
      </w:r>
      <w:r>
        <w:rPr>
          <w:rFonts w:hint="eastAsia"/>
          <w:szCs w:val="21"/>
        </w:rPr>
        <w:t>信息网络系统</w:t>
      </w:r>
      <w:r>
        <w:tab/>
      </w:r>
      <w:r>
        <w:fldChar w:fldCharType="begin"/>
      </w:r>
      <w:r>
        <w:instrText xml:space="preserve"> PAGEREF _Toc13987 \h </w:instrText>
      </w:r>
      <w:r>
        <w:fldChar w:fldCharType="separate"/>
      </w:r>
      <w:r>
        <w:t>57</w:t>
      </w:r>
      <w:r>
        <w:fldChar w:fldCharType="end"/>
      </w:r>
      <w:r>
        <w:rPr>
          <w:rFonts w:ascii="宋体" w:hAnsi="宋体"/>
          <w:szCs w:val="21"/>
        </w:rPr>
        <w:fldChar w:fldCharType="end"/>
      </w:r>
    </w:p>
    <w:p w14:paraId="18BC2058">
      <w:pPr>
        <w:pStyle w:val="74"/>
        <w:tabs>
          <w:tab w:val="right" w:leader="dot" w:pos="9070"/>
        </w:tabs>
      </w:pPr>
      <w:r>
        <w:rPr>
          <w:rFonts w:ascii="宋体" w:hAnsi="宋体"/>
          <w:szCs w:val="21"/>
        </w:rPr>
        <w:fldChar w:fldCharType="begin"/>
      </w:r>
      <w:r>
        <w:rPr>
          <w:rFonts w:ascii="宋体" w:hAnsi="宋体"/>
          <w:szCs w:val="21"/>
        </w:rPr>
        <w:instrText xml:space="preserve"> HYPERLINK \l _Toc20197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2.2 </w:t>
      </w:r>
      <w:r>
        <w:rPr>
          <w:rFonts w:hint="eastAsia"/>
          <w:szCs w:val="21"/>
          <w:lang w:val="en-US"/>
        </w:rPr>
        <w:t>与</w:t>
      </w:r>
      <w:r>
        <w:rPr>
          <w:rFonts w:hint="eastAsia"/>
          <w:szCs w:val="21"/>
        </w:rPr>
        <w:t>专用电源系统</w:t>
      </w:r>
      <w:r>
        <w:tab/>
      </w:r>
      <w:r>
        <w:fldChar w:fldCharType="begin"/>
      </w:r>
      <w:r>
        <w:instrText xml:space="preserve"> PAGEREF _Toc20197 \h </w:instrText>
      </w:r>
      <w:r>
        <w:fldChar w:fldCharType="separate"/>
      </w:r>
      <w:r>
        <w:t>60</w:t>
      </w:r>
      <w:r>
        <w:fldChar w:fldCharType="end"/>
      </w:r>
      <w:r>
        <w:rPr>
          <w:rFonts w:ascii="宋体" w:hAnsi="宋体"/>
          <w:szCs w:val="21"/>
        </w:rPr>
        <w:fldChar w:fldCharType="end"/>
      </w:r>
    </w:p>
    <w:p w14:paraId="2A39EB26">
      <w:pPr>
        <w:pStyle w:val="74"/>
        <w:tabs>
          <w:tab w:val="right" w:leader="dot" w:pos="9070"/>
        </w:tabs>
      </w:pPr>
      <w:r>
        <w:rPr>
          <w:rFonts w:ascii="宋体" w:hAnsi="宋体"/>
          <w:szCs w:val="21"/>
        </w:rPr>
        <w:fldChar w:fldCharType="begin"/>
      </w:r>
      <w:r>
        <w:rPr>
          <w:rFonts w:ascii="宋体" w:hAnsi="宋体"/>
          <w:szCs w:val="21"/>
        </w:rPr>
        <w:instrText xml:space="preserve"> HYPERLINK \l _Toc11169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2.3 </w:t>
      </w:r>
      <w:r>
        <w:rPr>
          <w:rFonts w:hint="eastAsia"/>
          <w:szCs w:val="21"/>
          <w:lang w:val="en-US"/>
        </w:rPr>
        <w:t>与线网</w:t>
      </w:r>
      <w:r>
        <w:rPr>
          <w:rFonts w:hint="eastAsia"/>
          <w:szCs w:val="21"/>
          <w:lang w:val="en-US" w:eastAsia="zh-CN"/>
        </w:rPr>
        <w:t>云平台</w:t>
      </w:r>
      <w:r>
        <w:rPr>
          <w:rFonts w:hint="eastAsia"/>
          <w:szCs w:val="21"/>
          <w:lang w:val="en-US"/>
        </w:rPr>
        <w:t>（预留）</w:t>
      </w:r>
      <w:r>
        <w:tab/>
      </w:r>
      <w:r>
        <w:fldChar w:fldCharType="begin"/>
      </w:r>
      <w:r>
        <w:instrText xml:space="preserve"> PAGEREF _Toc11169 \h </w:instrText>
      </w:r>
      <w:r>
        <w:fldChar w:fldCharType="separate"/>
      </w:r>
      <w:r>
        <w:t>63</w:t>
      </w:r>
      <w:r>
        <w:fldChar w:fldCharType="end"/>
      </w:r>
      <w:r>
        <w:rPr>
          <w:rFonts w:ascii="宋体" w:hAnsi="宋体"/>
          <w:szCs w:val="21"/>
        </w:rPr>
        <w:fldChar w:fldCharType="end"/>
      </w:r>
    </w:p>
    <w:p w14:paraId="277792FD">
      <w:pPr>
        <w:pStyle w:val="59"/>
        <w:tabs>
          <w:tab w:val="right" w:leader="dot" w:pos="9070"/>
        </w:tabs>
      </w:pPr>
      <w:r>
        <w:rPr>
          <w:rFonts w:ascii="宋体" w:hAnsi="宋体"/>
          <w:szCs w:val="21"/>
        </w:rPr>
        <w:fldChar w:fldCharType="begin"/>
      </w:r>
      <w:r>
        <w:rPr>
          <w:rFonts w:ascii="宋体" w:hAnsi="宋体"/>
          <w:szCs w:val="21"/>
        </w:rPr>
        <w:instrText xml:space="preserve"> HYPERLINK \l _Toc2133 </w:instrText>
      </w:r>
      <w:r>
        <w:rPr>
          <w:rFonts w:ascii="宋体" w:hAnsi="宋体"/>
          <w:szCs w:val="21"/>
        </w:rPr>
        <w:fldChar w:fldCharType="separate"/>
      </w:r>
      <w:r>
        <w:rPr>
          <w:rFonts w:hint="eastAsia"/>
          <w:szCs w:val="52"/>
        </w:rPr>
        <w:t>第四章附件</w:t>
      </w:r>
      <w:r>
        <w:tab/>
      </w:r>
      <w:r>
        <w:fldChar w:fldCharType="begin"/>
      </w:r>
      <w:r>
        <w:instrText xml:space="preserve"> PAGEREF _Toc2133 \h </w:instrText>
      </w:r>
      <w:r>
        <w:fldChar w:fldCharType="separate"/>
      </w:r>
      <w:r>
        <w:t>64</w:t>
      </w:r>
      <w:r>
        <w:fldChar w:fldCharType="end"/>
      </w:r>
      <w:r>
        <w:rPr>
          <w:rFonts w:ascii="宋体" w:hAnsi="宋体"/>
          <w:szCs w:val="21"/>
        </w:rPr>
        <w:fldChar w:fldCharType="end"/>
      </w:r>
    </w:p>
    <w:p w14:paraId="0A366CBE">
      <w:pPr>
        <w:pStyle w:val="59"/>
        <w:tabs>
          <w:tab w:val="right" w:leader="dot" w:pos="9070"/>
        </w:tabs>
      </w:pPr>
      <w:r>
        <w:rPr>
          <w:rFonts w:ascii="宋体" w:hAnsi="宋体"/>
          <w:szCs w:val="21"/>
        </w:rPr>
        <w:fldChar w:fldCharType="begin"/>
      </w:r>
      <w:r>
        <w:rPr>
          <w:rFonts w:ascii="宋体" w:hAnsi="宋体"/>
          <w:szCs w:val="21"/>
        </w:rPr>
        <w:instrText xml:space="preserve"> HYPERLINK \l _Toc12076 </w:instrText>
      </w:r>
      <w:r>
        <w:rPr>
          <w:rFonts w:ascii="宋体" w:hAnsi="宋体"/>
          <w:szCs w:val="21"/>
        </w:rPr>
        <w:fldChar w:fldCharType="separate"/>
      </w:r>
      <w:r>
        <w:rPr>
          <w:rFonts w:hint="eastAsia" w:ascii="Times New Roman" w:hAnsi="Times New Roman" w:eastAsia="宋体"/>
          <w:bCs/>
          <w:szCs w:val="21"/>
        </w:rPr>
        <w:t>1 附件</w:t>
      </w:r>
      <w:r>
        <w:tab/>
      </w:r>
      <w:r>
        <w:fldChar w:fldCharType="begin"/>
      </w:r>
      <w:r>
        <w:instrText xml:space="preserve"> PAGEREF _Toc12076 \h </w:instrText>
      </w:r>
      <w:r>
        <w:fldChar w:fldCharType="separate"/>
      </w:r>
      <w:r>
        <w:t>65</w:t>
      </w:r>
      <w:r>
        <w:fldChar w:fldCharType="end"/>
      </w:r>
      <w:r>
        <w:rPr>
          <w:rFonts w:ascii="宋体" w:hAnsi="宋体"/>
          <w:szCs w:val="21"/>
        </w:rPr>
        <w:fldChar w:fldCharType="end"/>
      </w:r>
    </w:p>
    <w:p w14:paraId="032DD484">
      <w:pPr>
        <w:pStyle w:val="74"/>
        <w:tabs>
          <w:tab w:val="right" w:leader="dot" w:pos="9070"/>
        </w:tabs>
      </w:pPr>
      <w:r>
        <w:rPr>
          <w:rFonts w:ascii="宋体" w:hAnsi="宋体"/>
          <w:szCs w:val="21"/>
        </w:rPr>
        <w:fldChar w:fldCharType="begin"/>
      </w:r>
      <w:r>
        <w:rPr>
          <w:rFonts w:ascii="宋体" w:hAnsi="宋体"/>
          <w:szCs w:val="21"/>
        </w:rPr>
        <w:instrText xml:space="preserve"> HYPERLINK \l _Toc704 </w:instrText>
      </w:r>
      <w:r>
        <w:rPr>
          <w:rFonts w:ascii="宋体" w:hAnsi="宋体"/>
          <w:szCs w:val="21"/>
        </w:rPr>
        <w:fldChar w:fldCharType="separate"/>
      </w:r>
      <w:r>
        <w:rPr>
          <w:bCs w:val="0"/>
          <w:i w:val="0"/>
          <w:iCs w:val="0"/>
          <w:caps w:val="0"/>
          <w:smallCaps w:val="0"/>
          <w:strike w:val="0"/>
          <w:dstrike w:val="0"/>
          <w:outline w:val="0"/>
          <w:shadow w:val="0"/>
          <w:emboss w:val="0"/>
          <w:imprint w:val="0"/>
          <w:vanish w:val="0"/>
          <w:spacing w:val="0"/>
          <w:position w:val="0"/>
          <w:szCs w:val="21"/>
          <w:vertAlign w:val="baseline"/>
          <w:lang w:val="en-US"/>
        </w:rPr>
        <w:t xml:space="preserve">1.1 </w:t>
      </w:r>
      <w:r>
        <w:rPr>
          <w:rFonts w:hint="eastAsia"/>
          <w:szCs w:val="21"/>
        </w:rPr>
        <w:t>附图</w:t>
      </w:r>
      <w:r>
        <w:tab/>
      </w:r>
      <w:r>
        <w:fldChar w:fldCharType="begin"/>
      </w:r>
      <w:r>
        <w:instrText xml:space="preserve"> PAGEREF _Toc704 \h </w:instrText>
      </w:r>
      <w:r>
        <w:fldChar w:fldCharType="separate"/>
      </w:r>
      <w:r>
        <w:t>65</w:t>
      </w:r>
      <w:r>
        <w:fldChar w:fldCharType="end"/>
      </w:r>
      <w:r>
        <w:rPr>
          <w:rFonts w:ascii="宋体" w:hAnsi="宋体"/>
          <w:szCs w:val="21"/>
        </w:rPr>
        <w:fldChar w:fldCharType="end"/>
      </w:r>
    </w:p>
    <w:p w14:paraId="6F325BF0">
      <w:pPr>
        <w:pStyle w:val="406"/>
        <w:tabs>
          <w:tab w:val="left" w:pos="1200"/>
          <w:tab w:val="right" w:leader="dot" w:pos="8302"/>
        </w:tabs>
        <w:ind w:firstLine="57"/>
        <w:rPr>
          <w:rFonts w:ascii="宋体" w:hAnsi="宋体"/>
          <w:sz w:val="21"/>
          <w:szCs w:val="21"/>
        </w:rPr>
        <w:sectPr>
          <w:headerReference r:id="rId6" w:type="first"/>
          <w:headerReference r:id="rId5" w:type="default"/>
          <w:footerReference r:id="rId7" w:type="default"/>
          <w:footerReference r:id="rId8" w:type="even"/>
          <w:pgSz w:w="11906" w:h="16838"/>
          <w:pgMar w:top="1418" w:right="1418" w:bottom="1418" w:left="1418" w:header="851" w:footer="992" w:gutter="0"/>
          <w:pgNumType w:fmt="lowerRoman" w:start="1"/>
          <w:cols w:space="720" w:num="1"/>
          <w:titlePg/>
          <w:docGrid w:linePitch="326" w:charSpace="0"/>
        </w:sectPr>
      </w:pPr>
      <w:r>
        <w:rPr>
          <w:rFonts w:ascii="宋体" w:hAnsi="宋体"/>
          <w:szCs w:val="21"/>
        </w:rPr>
        <w:fldChar w:fldCharType="end"/>
      </w:r>
      <w:bookmarkEnd w:id="1"/>
      <w:bookmarkEnd w:id="2"/>
      <w:bookmarkEnd w:id="3"/>
      <w:bookmarkEnd w:id="4"/>
      <w:bookmarkEnd w:id="5"/>
      <w:bookmarkEnd w:id="6"/>
    </w:p>
    <w:p w14:paraId="70B60EA6">
      <w:pPr>
        <w:pStyle w:val="3"/>
        <w:numPr>
          <w:ilvl w:val="0"/>
          <w:numId w:val="0"/>
        </w:numPr>
        <w:jc w:val="center"/>
        <w:rPr>
          <w:sz w:val="52"/>
          <w:szCs w:val="52"/>
        </w:rPr>
      </w:pPr>
      <w:bookmarkStart w:id="8" w:name="_Toc360180614"/>
      <w:bookmarkStart w:id="9" w:name="_Toc5989"/>
      <w:bookmarkStart w:id="10" w:name="_Toc21695"/>
      <w:r>
        <w:rPr>
          <w:rFonts w:hint="eastAsia"/>
          <w:sz w:val="52"/>
          <w:szCs w:val="52"/>
        </w:rPr>
        <w:t>第一章通用技术要求</w:t>
      </w:r>
      <w:bookmarkEnd w:id="8"/>
      <w:bookmarkEnd w:id="9"/>
      <w:bookmarkEnd w:id="10"/>
    </w:p>
    <w:p w14:paraId="6760742A">
      <w:pPr>
        <w:rPr>
          <w:sz w:val="21"/>
          <w:szCs w:val="21"/>
        </w:rPr>
        <w:sectPr>
          <w:pgSz w:w="11906" w:h="16838"/>
          <w:pgMar w:top="1418" w:right="1418" w:bottom="1418" w:left="1418" w:header="851" w:footer="992" w:gutter="0"/>
          <w:pgNumType w:start="1"/>
          <w:cols w:space="720" w:num="1"/>
          <w:docGrid w:linePitch="312" w:charSpace="0"/>
        </w:sectPr>
      </w:pPr>
    </w:p>
    <w:p w14:paraId="7099F34E">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11" w:name="_Toc15266"/>
      <w:bookmarkStart w:id="12" w:name="_Toc5386"/>
      <w:r>
        <w:rPr>
          <w:rFonts w:hint="eastAsia" w:ascii="Times New Roman" w:hAnsi="Times New Roman" w:eastAsia="宋体"/>
          <w:b/>
          <w:bCs/>
          <w:sz w:val="21"/>
          <w:szCs w:val="21"/>
        </w:rPr>
        <w:t>总则</w:t>
      </w:r>
      <w:bookmarkEnd w:id="11"/>
      <w:bookmarkEnd w:id="12"/>
    </w:p>
    <w:p w14:paraId="368CE53D">
      <w:pPr>
        <w:pStyle w:val="4"/>
        <w:rPr>
          <w:sz w:val="21"/>
          <w:szCs w:val="21"/>
        </w:rPr>
      </w:pPr>
      <w:bookmarkStart w:id="13" w:name="_Toc15840"/>
      <w:bookmarkStart w:id="14" w:name="_Toc29875"/>
      <w:r>
        <w:rPr>
          <w:rFonts w:hint="eastAsia"/>
          <w:sz w:val="21"/>
          <w:szCs w:val="21"/>
        </w:rPr>
        <w:t>适用范围</w:t>
      </w:r>
      <w:bookmarkEnd w:id="13"/>
      <w:bookmarkEnd w:id="14"/>
    </w:p>
    <w:p w14:paraId="18C0E9AA">
      <w:pPr>
        <w:pStyle w:val="5"/>
        <w:rPr>
          <w:color w:val="auto"/>
          <w:szCs w:val="21"/>
        </w:rPr>
      </w:pPr>
      <w:r>
        <w:rPr>
          <w:rFonts w:hint="eastAsia"/>
          <w:color w:val="auto"/>
          <w:szCs w:val="21"/>
        </w:rPr>
        <w:t>本用户需求书适用于</w:t>
      </w:r>
      <w:r>
        <w:rPr>
          <w:rFonts w:hint="eastAsia"/>
          <w:color w:val="auto"/>
          <w:szCs w:val="21"/>
          <w:lang w:eastAsia="zh-CN"/>
        </w:rPr>
        <w:t>管理云平台</w:t>
      </w:r>
      <w:r>
        <w:rPr>
          <w:rFonts w:hint="eastAsia"/>
          <w:color w:val="auto"/>
          <w:szCs w:val="21"/>
        </w:rPr>
        <w:t>建设项目（以下简称“本项目”）的招标。</w:t>
      </w:r>
    </w:p>
    <w:p w14:paraId="23720FEF">
      <w:pPr>
        <w:pStyle w:val="5"/>
        <w:rPr>
          <w:color w:val="auto"/>
          <w:szCs w:val="21"/>
        </w:rPr>
      </w:pPr>
      <w:r>
        <w:rPr>
          <w:rFonts w:hint="eastAsia"/>
          <w:color w:val="auto"/>
          <w:szCs w:val="21"/>
        </w:rPr>
        <w:t>本项目包括</w:t>
      </w:r>
      <w:r>
        <w:rPr>
          <w:rFonts w:hint="eastAsia"/>
          <w:color w:val="auto"/>
          <w:szCs w:val="21"/>
          <w:lang w:val="en-US" w:eastAsia="zh-CN"/>
        </w:rPr>
        <w:t>管理云平台</w:t>
      </w:r>
      <w:r>
        <w:rPr>
          <w:rFonts w:hint="eastAsia"/>
          <w:color w:val="auto"/>
          <w:szCs w:val="21"/>
          <w:lang w:val="en-US"/>
        </w:rPr>
        <w:t>及其相关设备</w:t>
      </w:r>
      <w:r>
        <w:rPr>
          <w:rFonts w:hint="eastAsia"/>
          <w:color w:val="auto"/>
          <w:szCs w:val="21"/>
        </w:rPr>
        <w:t>的产品制造、出厂检验、保险、包装、发货、运输、交货、试运行、人员培训、质量保证期内的系统缺陷的纠正和维护等的具体规定和要求</w:t>
      </w:r>
      <w:r>
        <w:rPr>
          <w:color w:val="auto"/>
          <w:szCs w:val="21"/>
        </w:rPr>
        <w:t>。</w:t>
      </w:r>
    </w:p>
    <w:p w14:paraId="1855DD47">
      <w:pPr>
        <w:pStyle w:val="5"/>
        <w:rPr>
          <w:color w:val="auto"/>
          <w:szCs w:val="21"/>
        </w:rPr>
      </w:pPr>
      <w:r>
        <w:rPr>
          <w:rFonts w:hint="eastAsia"/>
          <w:color w:val="auto"/>
          <w:szCs w:val="21"/>
        </w:rPr>
        <w:t>本用户需求书是对本项目的系统构成、系统功能、设备配置、设备性能、运营要求、系统接口、供货范围、工作范围、责任范围、技术服务、项目管理、质量控制、安装、检验验收、培训、质保期、系统寿命周期等的具体</w:t>
      </w:r>
    </w:p>
    <w:p w14:paraId="2CD3077C">
      <w:pPr>
        <w:pStyle w:val="5"/>
        <w:rPr>
          <w:color w:val="auto"/>
          <w:szCs w:val="21"/>
        </w:rPr>
      </w:pPr>
      <w:r>
        <w:rPr>
          <w:rFonts w:hint="eastAsia"/>
          <w:color w:val="auto"/>
          <w:szCs w:val="21"/>
        </w:rPr>
        <w:t>本用户需求书是本项目招标的技术要求和基本准则，是投标人编制本项目投标文件的依据，也是签订本项目合同文件的基础，将作为本项目合同文件的附件</w:t>
      </w:r>
      <w:r>
        <w:rPr>
          <w:color w:val="auto"/>
          <w:szCs w:val="21"/>
        </w:rPr>
        <w:t>。</w:t>
      </w:r>
    </w:p>
    <w:p w14:paraId="05BFD605">
      <w:pPr>
        <w:pStyle w:val="5"/>
        <w:rPr>
          <w:color w:val="auto"/>
          <w:szCs w:val="21"/>
        </w:rPr>
      </w:pPr>
      <w:r>
        <w:rPr>
          <w:rFonts w:hint="eastAsia"/>
          <w:color w:val="auto"/>
          <w:szCs w:val="21"/>
        </w:rPr>
        <w:t>投标人应认真理解本用户需求书中所有条款的含义，在投标文件中提供全部用户需求书所要求的内容和文件，投标文件技术部分需完全按照本用户需求书中有关投标文件格式的要求进行编制，且完全按顺序逐条响应。</w:t>
      </w:r>
    </w:p>
    <w:p w14:paraId="641105CF">
      <w:pPr>
        <w:pStyle w:val="5"/>
        <w:rPr>
          <w:color w:val="auto"/>
          <w:szCs w:val="21"/>
        </w:rPr>
      </w:pPr>
      <w:r>
        <w:rPr>
          <w:rFonts w:hint="eastAsia"/>
          <w:color w:val="auto"/>
          <w:szCs w:val="21"/>
        </w:rPr>
        <w:t>本用户需求书仅提出本项目的主要要求，对于本用户需求书未提出要求的部分，投标人须提供功能结构完整、满足</w:t>
      </w:r>
      <w:r>
        <w:rPr>
          <w:rFonts w:hint="eastAsia"/>
          <w:color w:val="auto"/>
          <w:szCs w:val="21"/>
          <w:lang w:val="en-US" w:eastAsia="zh-CN"/>
        </w:rPr>
        <w:t>招标人</w:t>
      </w:r>
      <w:r>
        <w:rPr>
          <w:rFonts w:hint="eastAsia"/>
          <w:color w:val="auto"/>
          <w:szCs w:val="21"/>
          <w:lang w:val="en-US"/>
        </w:rPr>
        <w:t>办公</w:t>
      </w:r>
      <w:r>
        <w:rPr>
          <w:rFonts w:hint="eastAsia"/>
          <w:color w:val="auto"/>
          <w:szCs w:val="21"/>
        </w:rPr>
        <w:t>及生产管理要求的系统，须进行必要的补充，以保证系统的完整性。为保证系统的完整性，投标人不得以招标文件中未规定为理由要求招标人进行本项目的设备、材料、各种安装连接附件的追加。</w:t>
      </w:r>
    </w:p>
    <w:p w14:paraId="3BBB280E">
      <w:pPr>
        <w:pStyle w:val="5"/>
        <w:rPr>
          <w:color w:val="auto"/>
          <w:szCs w:val="21"/>
        </w:rPr>
      </w:pPr>
      <w:r>
        <w:rPr>
          <w:rFonts w:hint="eastAsia"/>
          <w:color w:val="auto"/>
          <w:szCs w:val="21"/>
        </w:rPr>
        <w:t>若本用户需求书中采用的技术规范和规定的技术要求的任何内容，与任何现行国家规范、规程和标准（包括它们适用的修改之间）出现相互矛盾之处或不一致之处，投标人应按照其中要求最严格的标准执行。设备和材料都应依照本用户需求书采用的技术规范和规定的技术说明以及相关国家规范、规程和标准的最新版本执行；或把它们当作对投标人工作的最起码要求，而执行更高的标准。</w:t>
      </w:r>
    </w:p>
    <w:p w14:paraId="548C7603">
      <w:pPr>
        <w:pStyle w:val="5"/>
        <w:rPr>
          <w:color w:val="auto"/>
          <w:szCs w:val="21"/>
        </w:rPr>
      </w:pPr>
      <w:r>
        <w:rPr>
          <w:rFonts w:hint="eastAsia"/>
          <w:color w:val="auto"/>
          <w:szCs w:val="21"/>
        </w:rPr>
        <w:t>本项目工期紧张，工程项目进度计划存在调整的可能性，因此投标人应有足够的工期风险意识和准备，以满足招标人规定的工期要求和工程的整体要求，投标人须承诺为保证工期所发生的所有费用均已包含在投标总报价内。</w:t>
      </w:r>
    </w:p>
    <w:p w14:paraId="707E8A47">
      <w:pPr>
        <w:pStyle w:val="5"/>
        <w:rPr>
          <w:color w:val="auto"/>
          <w:szCs w:val="21"/>
        </w:rPr>
      </w:pPr>
      <w:r>
        <w:rPr>
          <w:rFonts w:hint="eastAsia"/>
          <w:color w:val="auto"/>
          <w:szCs w:val="21"/>
        </w:rPr>
        <w:t>为了保证本项目建设的安全、质量和进度，招标人在招标文件中对本项目涉及由投标人负责提供的设备材料的规范和标准、技术性能、产品业绩等进行限定，由投标人自主报价，但不得低于成本或严重偏离市场价报价，否则招标人有权拒绝。</w:t>
      </w:r>
    </w:p>
    <w:p w14:paraId="0B75CC49">
      <w:pPr>
        <w:pStyle w:val="5"/>
        <w:rPr>
          <w:color w:val="auto"/>
          <w:szCs w:val="21"/>
        </w:rPr>
      </w:pPr>
      <w:r>
        <w:rPr>
          <w:rFonts w:hint="eastAsia"/>
          <w:color w:val="auto"/>
          <w:szCs w:val="21"/>
        </w:rPr>
        <w:t>投标人所提供的设备应具备相关软件许可证及安全认证，应提供相关文件（含需要采购第三方软件许可的数量分析）。投标人提供的系统必须满足《信息安全技术</w:t>
      </w:r>
      <w:r>
        <w:rPr>
          <w:rFonts w:hint="eastAsia"/>
          <w:color w:val="auto"/>
          <w:szCs w:val="21"/>
          <w:lang w:val="en-US"/>
        </w:rPr>
        <w:t xml:space="preserve"> </w:t>
      </w:r>
      <w:r>
        <w:rPr>
          <w:rFonts w:hint="eastAsia"/>
          <w:color w:val="auto"/>
          <w:szCs w:val="21"/>
        </w:rPr>
        <w:t>网络安全等级保护基本要求》等国家及公安部信息安全等级保护系列标准中</w:t>
      </w:r>
      <w:r>
        <w:rPr>
          <w:rFonts w:hint="eastAsia"/>
          <w:color w:val="auto"/>
          <w:szCs w:val="21"/>
          <w:lang w:val="en-US"/>
        </w:rPr>
        <w:t>二</w:t>
      </w:r>
      <w:r>
        <w:rPr>
          <w:rFonts w:hint="eastAsia"/>
          <w:color w:val="auto"/>
          <w:szCs w:val="21"/>
        </w:rPr>
        <w:t>级的要求，如评测时发现不满足的情况，需免费进行整改。投标人提供的系统内所使用的安全保护产品应提供相关认证、销售许可证明等文件。投标人应承诺配合招标人完成等级保护定级、备案、建设整改、等级测评、自查等相关工作。</w:t>
      </w:r>
    </w:p>
    <w:p w14:paraId="5B25EF97">
      <w:pPr>
        <w:pStyle w:val="4"/>
        <w:rPr>
          <w:sz w:val="21"/>
          <w:szCs w:val="21"/>
        </w:rPr>
      </w:pPr>
      <w:bookmarkStart w:id="15" w:name="_Toc9167"/>
      <w:bookmarkStart w:id="16" w:name="_Toc14262"/>
      <w:r>
        <w:rPr>
          <w:rFonts w:hint="eastAsia"/>
          <w:sz w:val="21"/>
          <w:szCs w:val="21"/>
        </w:rPr>
        <w:t>文件组成</w:t>
      </w:r>
      <w:bookmarkEnd w:id="15"/>
      <w:bookmarkEnd w:id="16"/>
    </w:p>
    <w:p w14:paraId="19491665">
      <w:pPr>
        <w:pStyle w:val="5"/>
        <w:rPr>
          <w:color w:val="auto"/>
          <w:szCs w:val="21"/>
        </w:rPr>
      </w:pPr>
      <w:r>
        <w:rPr>
          <w:rFonts w:hint="eastAsia"/>
          <w:color w:val="auto"/>
          <w:szCs w:val="21"/>
        </w:rPr>
        <w:t>本用户需求书包括</w:t>
      </w:r>
      <w:r>
        <w:rPr>
          <w:rFonts w:hint="eastAsia"/>
          <w:color w:val="auto"/>
          <w:szCs w:val="21"/>
          <w:lang w:val="en-US"/>
        </w:rPr>
        <w:t>四</w:t>
      </w:r>
      <w:r>
        <w:rPr>
          <w:rFonts w:hint="eastAsia"/>
          <w:color w:val="auto"/>
          <w:szCs w:val="21"/>
        </w:rPr>
        <w:t>部分：</w:t>
      </w:r>
    </w:p>
    <w:p w14:paraId="4BABB555">
      <w:pPr>
        <w:widowControl/>
        <w:numPr>
          <w:ilvl w:val="0"/>
          <w:numId w:val="29"/>
        </w:numPr>
        <w:adjustRightInd w:val="0"/>
        <w:snapToGrid w:val="0"/>
        <w:rPr>
          <w:sz w:val="21"/>
          <w:szCs w:val="21"/>
        </w:rPr>
      </w:pPr>
      <w:r>
        <w:rPr>
          <w:rFonts w:hint="eastAsia"/>
          <w:sz w:val="21"/>
          <w:szCs w:val="21"/>
        </w:rPr>
        <w:t>通用技术要求</w:t>
      </w:r>
    </w:p>
    <w:p w14:paraId="163F4F5C">
      <w:pPr>
        <w:widowControl/>
        <w:numPr>
          <w:ilvl w:val="0"/>
          <w:numId w:val="29"/>
        </w:numPr>
        <w:adjustRightInd w:val="0"/>
        <w:snapToGrid w:val="0"/>
        <w:rPr>
          <w:sz w:val="21"/>
          <w:szCs w:val="21"/>
        </w:rPr>
      </w:pPr>
      <w:r>
        <w:rPr>
          <w:rFonts w:hint="eastAsia"/>
          <w:sz w:val="21"/>
          <w:szCs w:val="21"/>
        </w:rPr>
        <w:t>专用技术要求</w:t>
      </w:r>
    </w:p>
    <w:p w14:paraId="07A6B50D">
      <w:pPr>
        <w:widowControl/>
        <w:numPr>
          <w:ilvl w:val="0"/>
          <w:numId w:val="29"/>
        </w:numPr>
        <w:adjustRightInd w:val="0"/>
        <w:snapToGrid w:val="0"/>
        <w:rPr>
          <w:sz w:val="21"/>
          <w:szCs w:val="21"/>
        </w:rPr>
      </w:pPr>
      <w:r>
        <w:rPr>
          <w:rFonts w:hint="eastAsia"/>
          <w:sz w:val="21"/>
          <w:szCs w:val="21"/>
        </w:rPr>
        <w:t>接口技术要求</w:t>
      </w:r>
    </w:p>
    <w:p w14:paraId="5832B0A2">
      <w:pPr>
        <w:widowControl/>
        <w:numPr>
          <w:ilvl w:val="0"/>
          <w:numId w:val="29"/>
        </w:numPr>
        <w:adjustRightInd w:val="0"/>
        <w:snapToGrid w:val="0"/>
        <w:rPr>
          <w:sz w:val="21"/>
          <w:szCs w:val="21"/>
        </w:rPr>
      </w:pPr>
      <w:r>
        <w:rPr>
          <w:rFonts w:hint="eastAsia"/>
          <w:sz w:val="21"/>
          <w:szCs w:val="21"/>
        </w:rPr>
        <w:t>附件</w:t>
      </w:r>
    </w:p>
    <w:p w14:paraId="779D59E5">
      <w:pPr>
        <w:pStyle w:val="4"/>
        <w:rPr>
          <w:sz w:val="21"/>
          <w:szCs w:val="21"/>
        </w:rPr>
      </w:pPr>
      <w:bookmarkStart w:id="17" w:name="_Toc8238"/>
      <w:bookmarkStart w:id="18" w:name="_Toc23845"/>
      <w:r>
        <w:rPr>
          <w:rFonts w:hint="eastAsia"/>
          <w:sz w:val="21"/>
          <w:szCs w:val="21"/>
        </w:rPr>
        <w:t>项目工作语言</w:t>
      </w:r>
      <w:bookmarkEnd w:id="17"/>
      <w:bookmarkEnd w:id="18"/>
    </w:p>
    <w:p w14:paraId="2BAD5927">
      <w:pPr>
        <w:pStyle w:val="5"/>
        <w:rPr>
          <w:color w:val="auto"/>
          <w:szCs w:val="21"/>
        </w:rPr>
      </w:pPr>
      <w:r>
        <w:rPr>
          <w:rFonts w:hint="eastAsia"/>
          <w:color w:val="auto"/>
          <w:szCs w:val="21"/>
        </w:rPr>
        <w:t>本用户需求书以中文文本为合法文本。</w:t>
      </w:r>
    </w:p>
    <w:p w14:paraId="77D2C984">
      <w:pPr>
        <w:pStyle w:val="5"/>
        <w:rPr>
          <w:color w:val="auto"/>
          <w:szCs w:val="21"/>
        </w:rPr>
      </w:pPr>
      <w:r>
        <w:rPr>
          <w:rFonts w:hint="eastAsia"/>
          <w:color w:val="auto"/>
          <w:szCs w:val="21"/>
        </w:rPr>
        <w:t>本项目所有工作阶段的所有文件均采用中文和汉语作为工作语言,若同时附有必要的外文资料，将以中文文本的内容为准。</w:t>
      </w:r>
    </w:p>
    <w:p w14:paraId="238313B4">
      <w:pPr>
        <w:pStyle w:val="4"/>
        <w:rPr>
          <w:sz w:val="21"/>
          <w:szCs w:val="21"/>
        </w:rPr>
      </w:pPr>
      <w:bookmarkStart w:id="19" w:name="_Toc7626"/>
      <w:bookmarkStart w:id="20" w:name="_Toc2645"/>
      <w:r>
        <w:rPr>
          <w:rFonts w:hint="eastAsia"/>
          <w:sz w:val="21"/>
          <w:szCs w:val="21"/>
        </w:rPr>
        <w:t>解释权</w:t>
      </w:r>
      <w:bookmarkEnd w:id="19"/>
      <w:bookmarkEnd w:id="20"/>
    </w:p>
    <w:p w14:paraId="391A52FF">
      <w:pPr>
        <w:pStyle w:val="5"/>
        <w:rPr>
          <w:color w:val="auto"/>
          <w:szCs w:val="21"/>
        </w:rPr>
      </w:pPr>
      <w:r>
        <w:rPr>
          <w:rFonts w:hint="eastAsia"/>
          <w:color w:val="auto"/>
          <w:szCs w:val="21"/>
        </w:rPr>
        <w:t>本用户需求书所有条款的解释权属于招标人。</w:t>
      </w:r>
    </w:p>
    <w:p w14:paraId="4671C90E">
      <w:pPr>
        <w:pStyle w:val="5"/>
        <w:rPr>
          <w:color w:val="auto"/>
          <w:szCs w:val="21"/>
        </w:rPr>
      </w:pPr>
      <w:r>
        <w:rPr>
          <w:rFonts w:hint="eastAsia"/>
          <w:color w:val="auto"/>
          <w:szCs w:val="21"/>
        </w:rPr>
        <w:t>本用户需求书所有条款将作为合同附件，投标人在投标过程中和合同签订过程中应认真理解和澄清本用户需求书的所有条款。</w:t>
      </w:r>
    </w:p>
    <w:p w14:paraId="7BD8B665">
      <w:pPr>
        <w:pStyle w:val="4"/>
        <w:rPr>
          <w:sz w:val="21"/>
          <w:szCs w:val="21"/>
        </w:rPr>
      </w:pPr>
      <w:bookmarkStart w:id="21" w:name="_Toc12188"/>
      <w:bookmarkStart w:id="22" w:name="_Toc5404"/>
      <w:r>
        <w:rPr>
          <w:rFonts w:hint="eastAsia"/>
          <w:sz w:val="21"/>
          <w:szCs w:val="21"/>
        </w:rPr>
        <w:t>参考标准</w:t>
      </w:r>
      <w:bookmarkEnd w:id="21"/>
      <w:bookmarkEnd w:id="22"/>
    </w:p>
    <w:p w14:paraId="1E50298D">
      <w:pPr>
        <w:pStyle w:val="5"/>
        <w:rPr>
          <w:color w:val="auto"/>
          <w:szCs w:val="21"/>
        </w:rPr>
      </w:pPr>
      <w:r>
        <w:rPr>
          <w:rFonts w:hint="eastAsia"/>
          <w:color w:val="auto"/>
          <w:szCs w:val="21"/>
        </w:rPr>
        <w:t>系统的</w:t>
      </w:r>
      <w:r>
        <w:rPr>
          <w:color w:val="auto"/>
          <w:szCs w:val="21"/>
        </w:rPr>
        <w:t>设备</w:t>
      </w:r>
      <w:r>
        <w:rPr>
          <w:rFonts w:hint="eastAsia"/>
          <w:color w:val="auto"/>
          <w:szCs w:val="21"/>
        </w:rPr>
        <w:t>及主要材料</w:t>
      </w:r>
      <w:r>
        <w:rPr>
          <w:color w:val="auto"/>
          <w:szCs w:val="21"/>
        </w:rPr>
        <w:t>的设计、制造、测试和安装均应</w:t>
      </w:r>
      <w:r>
        <w:rPr>
          <w:rFonts w:hint="eastAsia"/>
          <w:color w:val="auto"/>
          <w:szCs w:val="21"/>
        </w:rPr>
        <w:t>满足，但不仅限于下列有关</w:t>
      </w:r>
      <w:r>
        <w:rPr>
          <w:color w:val="auto"/>
          <w:szCs w:val="21"/>
        </w:rPr>
        <w:t>规定</w:t>
      </w:r>
      <w:r>
        <w:rPr>
          <w:rFonts w:hint="eastAsia"/>
          <w:color w:val="auto"/>
          <w:szCs w:val="21"/>
        </w:rPr>
        <w:t>和</w:t>
      </w:r>
      <w:r>
        <w:rPr>
          <w:color w:val="auto"/>
          <w:szCs w:val="21"/>
        </w:rPr>
        <w:t>标准：</w:t>
      </w:r>
    </w:p>
    <w:p w14:paraId="5F31C5F0">
      <w:pPr>
        <w:widowControl/>
        <w:numPr>
          <w:ilvl w:val="0"/>
          <w:numId w:val="30"/>
        </w:numPr>
        <w:adjustRightInd w:val="0"/>
        <w:snapToGrid w:val="0"/>
        <w:rPr>
          <w:sz w:val="21"/>
          <w:szCs w:val="21"/>
        </w:rPr>
      </w:pPr>
      <w:r>
        <w:rPr>
          <w:rFonts w:hint="eastAsia"/>
          <w:sz w:val="21"/>
          <w:szCs w:val="21"/>
        </w:rPr>
        <w:t>《数据中心设计规范》GB 50174-2017；</w:t>
      </w:r>
    </w:p>
    <w:p w14:paraId="7582D19B">
      <w:pPr>
        <w:widowControl/>
        <w:numPr>
          <w:ilvl w:val="0"/>
          <w:numId w:val="30"/>
        </w:numPr>
        <w:adjustRightInd w:val="0"/>
        <w:snapToGrid w:val="0"/>
        <w:rPr>
          <w:sz w:val="21"/>
          <w:szCs w:val="21"/>
        </w:rPr>
      </w:pPr>
      <w:r>
        <w:rPr>
          <w:rFonts w:hint="eastAsia"/>
          <w:sz w:val="21"/>
          <w:szCs w:val="21"/>
        </w:rPr>
        <w:t>《</w:t>
      </w:r>
      <w:r>
        <w:rPr>
          <w:rFonts w:hint="eastAsia" w:ascii="宋体" w:hAnsi="宋体" w:cs="宋体"/>
          <w:color w:val="000000"/>
          <w:sz w:val="21"/>
          <w:szCs w:val="21"/>
          <w:lang w:bidi="en-US"/>
        </w:rPr>
        <w:t>信息安全技术 云计算服务安全能力要求</w:t>
      </w:r>
      <w:r>
        <w:rPr>
          <w:rFonts w:hint="eastAsia"/>
          <w:sz w:val="21"/>
          <w:szCs w:val="21"/>
        </w:rPr>
        <w:t>》（GB/T 31168-2023）；</w:t>
      </w:r>
    </w:p>
    <w:p w14:paraId="2286B94F">
      <w:pPr>
        <w:widowControl/>
        <w:numPr>
          <w:ilvl w:val="0"/>
          <w:numId w:val="30"/>
        </w:numPr>
        <w:adjustRightInd w:val="0"/>
        <w:snapToGrid w:val="0"/>
        <w:rPr>
          <w:sz w:val="21"/>
          <w:szCs w:val="21"/>
        </w:rPr>
      </w:pPr>
      <w:r>
        <w:rPr>
          <w:rFonts w:hint="eastAsia"/>
          <w:sz w:val="21"/>
          <w:szCs w:val="21"/>
        </w:rPr>
        <w:t>《信息安全技术 网络安全等级保护基本要求》（GB/T 22239-2019）；</w:t>
      </w:r>
    </w:p>
    <w:p w14:paraId="054DC13C">
      <w:pPr>
        <w:widowControl/>
        <w:numPr>
          <w:ilvl w:val="0"/>
          <w:numId w:val="30"/>
        </w:numPr>
        <w:adjustRightInd w:val="0"/>
        <w:snapToGrid w:val="0"/>
        <w:rPr>
          <w:sz w:val="21"/>
          <w:szCs w:val="21"/>
        </w:rPr>
      </w:pPr>
      <w:r>
        <w:rPr>
          <w:rFonts w:hint="eastAsia"/>
          <w:sz w:val="21"/>
          <w:szCs w:val="21"/>
        </w:rPr>
        <w:t>《信息安全技术 网络安全等级保护测评要求》（GB_T 28448-2019）；</w:t>
      </w:r>
    </w:p>
    <w:p w14:paraId="1555ED36">
      <w:pPr>
        <w:widowControl/>
        <w:numPr>
          <w:ilvl w:val="0"/>
          <w:numId w:val="30"/>
        </w:numPr>
        <w:adjustRightInd w:val="0"/>
        <w:snapToGrid w:val="0"/>
        <w:rPr>
          <w:sz w:val="21"/>
          <w:szCs w:val="21"/>
        </w:rPr>
      </w:pPr>
      <w:r>
        <w:rPr>
          <w:rFonts w:hint="eastAsia"/>
          <w:sz w:val="21"/>
          <w:szCs w:val="21"/>
        </w:rPr>
        <w:t>《云计算数据中心基本要求》GB34982-2017；</w:t>
      </w:r>
    </w:p>
    <w:p w14:paraId="4BA58701">
      <w:pPr>
        <w:widowControl/>
        <w:numPr>
          <w:ilvl w:val="0"/>
          <w:numId w:val="30"/>
        </w:numPr>
        <w:adjustRightInd w:val="0"/>
        <w:snapToGrid w:val="0"/>
        <w:rPr>
          <w:sz w:val="21"/>
          <w:szCs w:val="21"/>
        </w:rPr>
      </w:pPr>
      <w:r>
        <w:rPr>
          <w:sz w:val="21"/>
          <w:szCs w:val="21"/>
        </w:rPr>
        <w:t>《</w:t>
      </w:r>
      <w:r>
        <w:rPr>
          <w:rFonts w:hint="eastAsia"/>
          <w:sz w:val="21"/>
          <w:szCs w:val="21"/>
        </w:rPr>
        <w:t>综合布线系统工程设计规范</w:t>
      </w:r>
      <w:r>
        <w:rPr>
          <w:sz w:val="21"/>
          <w:szCs w:val="21"/>
        </w:rPr>
        <w:t>》</w:t>
      </w:r>
      <w:r>
        <w:rPr>
          <w:rFonts w:hint="eastAsia"/>
          <w:sz w:val="21"/>
          <w:szCs w:val="21"/>
        </w:rPr>
        <w:t>（</w:t>
      </w:r>
      <w:r>
        <w:rPr>
          <w:sz w:val="21"/>
          <w:szCs w:val="21"/>
        </w:rPr>
        <w:t>GB/T50311-2016</w:t>
      </w:r>
      <w:r>
        <w:rPr>
          <w:rFonts w:hint="eastAsia"/>
          <w:sz w:val="21"/>
          <w:szCs w:val="21"/>
        </w:rPr>
        <w:t>）；</w:t>
      </w:r>
    </w:p>
    <w:p w14:paraId="49B08B9C">
      <w:pPr>
        <w:widowControl/>
        <w:numPr>
          <w:ilvl w:val="0"/>
          <w:numId w:val="30"/>
        </w:numPr>
        <w:adjustRightInd w:val="0"/>
        <w:snapToGrid w:val="0"/>
        <w:rPr>
          <w:sz w:val="21"/>
          <w:szCs w:val="21"/>
        </w:rPr>
      </w:pPr>
      <w:r>
        <w:rPr>
          <w:sz w:val="21"/>
          <w:szCs w:val="21"/>
        </w:rPr>
        <w:t>《建筑物电子信息系统防雷技术规范》（GB50343-20</w:t>
      </w:r>
      <w:r>
        <w:rPr>
          <w:rFonts w:hint="eastAsia"/>
          <w:sz w:val="21"/>
          <w:szCs w:val="21"/>
        </w:rPr>
        <w:t>12</w:t>
      </w:r>
      <w:r>
        <w:rPr>
          <w:sz w:val="21"/>
          <w:szCs w:val="21"/>
        </w:rPr>
        <w:t>）；</w:t>
      </w:r>
    </w:p>
    <w:p w14:paraId="065F9CB6">
      <w:pPr>
        <w:widowControl/>
        <w:numPr>
          <w:ilvl w:val="0"/>
          <w:numId w:val="30"/>
        </w:numPr>
        <w:adjustRightInd w:val="0"/>
        <w:snapToGrid w:val="0"/>
        <w:rPr>
          <w:sz w:val="21"/>
          <w:szCs w:val="21"/>
        </w:rPr>
      </w:pPr>
      <w:r>
        <w:rPr>
          <w:rFonts w:hint="eastAsia"/>
          <w:sz w:val="21"/>
          <w:szCs w:val="21"/>
        </w:rPr>
        <w:t>《云计算数据中心基本要求》（GB/T 34982-2017）；</w:t>
      </w:r>
    </w:p>
    <w:p w14:paraId="21A13A06">
      <w:pPr>
        <w:widowControl/>
        <w:numPr>
          <w:ilvl w:val="0"/>
          <w:numId w:val="30"/>
        </w:numPr>
        <w:adjustRightInd w:val="0"/>
        <w:snapToGrid w:val="0"/>
        <w:rPr>
          <w:sz w:val="21"/>
          <w:szCs w:val="21"/>
        </w:rPr>
      </w:pPr>
      <w:r>
        <w:rPr>
          <w:rFonts w:hint="eastAsia"/>
          <w:sz w:val="21"/>
          <w:szCs w:val="21"/>
        </w:rPr>
        <w:t>《云计算基础设施工程技术标准》（GB/T51399-2019）；</w:t>
      </w:r>
    </w:p>
    <w:p w14:paraId="3B8CC8BC">
      <w:pPr>
        <w:widowControl/>
        <w:numPr>
          <w:ilvl w:val="0"/>
          <w:numId w:val="30"/>
        </w:numPr>
        <w:adjustRightInd w:val="0"/>
        <w:snapToGrid w:val="0"/>
        <w:rPr>
          <w:sz w:val="21"/>
          <w:szCs w:val="21"/>
        </w:rPr>
      </w:pPr>
      <w:r>
        <w:rPr>
          <w:rFonts w:hint="eastAsia"/>
          <w:sz w:val="21"/>
          <w:szCs w:val="21"/>
        </w:rPr>
        <w:t>《综合布线系统工程验收规范》（GB50312-20</w:t>
      </w:r>
      <w:r>
        <w:rPr>
          <w:sz w:val="21"/>
          <w:szCs w:val="21"/>
        </w:rPr>
        <w:t>16</w:t>
      </w:r>
      <w:r>
        <w:rPr>
          <w:rFonts w:hint="eastAsia"/>
          <w:sz w:val="21"/>
          <w:szCs w:val="21"/>
        </w:rPr>
        <w:t>）；</w:t>
      </w:r>
    </w:p>
    <w:p w14:paraId="0FCF5F92">
      <w:pPr>
        <w:widowControl/>
        <w:numPr>
          <w:ilvl w:val="0"/>
          <w:numId w:val="30"/>
        </w:numPr>
        <w:adjustRightInd w:val="0"/>
        <w:snapToGrid w:val="0"/>
        <w:rPr>
          <w:sz w:val="21"/>
          <w:szCs w:val="21"/>
        </w:rPr>
      </w:pPr>
      <w:r>
        <w:rPr>
          <w:sz w:val="21"/>
          <w:szCs w:val="21"/>
        </w:rPr>
        <w:t>国际标准化组织（ISO）相关标准；</w:t>
      </w:r>
    </w:p>
    <w:p w14:paraId="26BF47C7">
      <w:pPr>
        <w:widowControl/>
        <w:numPr>
          <w:ilvl w:val="0"/>
          <w:numId w:val="30"/>
        </w:numPr>
        <w:adjustRightInd w:val="0"/>
        <w:snapToGrid w:val="0"/>
        <w:rPr>
          <w:sz w:val="21"/>
          <w:szCs w:val="21"/>
        </w:rPr>
      </w:pPr>
      <w:r>
        <w:rPr>
          <w:sz w:val="21"/>
          <w:szCs w:val="21"/>
        </w:rPr>
        <w:t>国际电工技术委员会（IEC）相关标准；</w:t>
      </w:r>
    </w:p>
    <w:p w14:paraId="719BC22F">
      <w:pPr>
        <w:widowControl/>
        <w:numPr>
          <w:ilvl w:val="0"/>
          <w:numId w:val="30"/>
        </w:numPr>
        <w:adjustRightInd w:val="0"/>
        <w:snapToGrid w:val="0"/>
        <w:rPr>
          <w:sz w:val="21"/>
          <w:szCs w:val="21"/>
        </w:rPr>
      </w:pPr>
      <w:r>
        <w:rPr>
          <w:sz w:val="21"/>
          <w:szCs w:val="21"/>
        </w:rPr>
        <w:t>国际电气与电子工程师协会IEEE有关协议；</w:t>
      </w:r>
    </w:p>
    <w:p w14:paraId="22F5EE1F">
      <w:pPr>
        <w:widowControl/>
        <w:numPr>
          <w:ilvl w:val="0"/>
          <w:numId w:val="30"/>
        </w:numPr>
        <w:adjustRightInd w:val="0"/>
        <w:snapToGrid w:val="0"/>
        <w:rPr>
          <w:sz w:val="21"/>
          <w:szCs w:val="21"/>
        </w:rPr>
      </w:pPr>
      <w:r>
        <w:rPr>
          <w:sz w:val="21"/>
          <w:szCs w:val="21"/>
        </w:rPr>
        <w:t>国际电信联盟ITU-T、ITU-R的有关建议；</w:t>
      </w:r>
    </w:p>
    <w:p w14:paraId="1117E1EA">
      <w:pPr>
        <w:widowControl/>
        <w:numPr>
          <w:ilvl w:val="0"/>
          <w:numId w:val="30"/>
        </w:numPr>
        <w:adjustRightInd w:val="0"/>
        <w:snapToGrid w:val="0"/>
        <w:rPr>
          <w:sz w:val="21"/>
          <w:szCs w:val="21"/>
        </w:rPr>
      </w:pPr>
      <w:r>
        <w:rPr>
          <w:sz w:val="21"/>
          <w:szCs w:val="21"/>
        </w:rPr>
        <w:t>电子工业协会（EIA）的有关标准；</w:t>
      </w:r>
    </w:p>
    <w:p w14:paraId="33677D00">
      <w:pPr>
        <w:widowControl/>
        <w:numPr>
          <w:ilvl w:val="0"/>
          <w:numId w:val="30"/>
        </w:numPr>
        <w:adjustRightInd w:val="0"/>
        <w:snapToGrid w:val="0"/>
        <w:rPr>
          <w:sz w:val="21"/>
          <w:szCs w:val="21"/>
        </w:rPr>
      </w:pPr>
      <w:r>
        <w:rPr>
          <w:sz w:val="21"/>
          <w:szCs w:val="21"/>
        </w:rPr>
        <w:t>本用户需求书中特别指定和制定的标准及技术要求。</w:t>
      </w:r>
    </w:p>
    <w:p w14:paraId="25A00B33">
      <w:pPr>
        <w:pStyle w:val="5"/>
        <w:rPr>
          <w:color w:val="auto"/>
          <w:szCs w:val="21"/>
        </w:rPr>
      </w:pPr>
      <w:bookmarkStart w:id="23" w:name="_Toc291351564"/>
      <w:r>
        <w:rPr>
          <w:color w:val="auto"/>
          <w:szCs w:val="21"/>
        </w:rPr>
        <w:t>上述标准应是最新版本，必须是在本项目招标截止日期前28天尚在通用的版本。</w:t>
      </w:r>
      <w:bookmarkEnd w:id="23"/>
    </w:p>
    <w:p w14:paraId="6F205716">
      <w:pPr>
        <w:pStyle w:val="5"/>
        <w:rPr>
          <w:color w:val="auto"/>
          <w:szCs w:val="21"/>
        </w:rPr>
      </w:pPr>
      <w:r>
        <w:rPr>
          <w:rFonts w:hint="eastAsia"/>
          <w:color w:val="auto"/>
          <w:szCs w:val="21"/>
        </w:rPr>
        <w:t>上述标准和规范中若有不一致之处，则按如下优先级顺序使用：</w:t>
      </w:r>
    </w:p>
    <w:p w14:paraId="531DF963">
      <w:pPr>
        <w:widowControl/>
        <w:numPr>
          <w:ilvl w:val="0"/>
          <w:numId w:val="30"/>
        </w:numPr>
        <w:adjustRightInd w:val="0"/>
        <w:snapToGrid w:val="0"/>
        <w:rPr>
          <w:sz w:val="21"/>
          <w:szCs w:val="21"/>
        </w:rPr>
      </w:pPr>
      <w:r>
        <w:rPr>
          <w:rFonts w:hint="eastAsia"/>
          <w:sz w:val="21"/>
          <w:szCs w:val="21"/>
        </w:rPr>
        <w:t>国际标准、规范；</w:t>
      </w:r>
    </w:p>
    <w:p w14:paraId="32D64C9F">
      <w:pPr>
        <w:widowControl/>
        <w:numPr>
          <w:ilvl w:val="0"/>
          <w:numId w:val="30"/>
        </w:numPr>
        <w:adjustRightInd w:val="0"/>
        <w:snapToGrid w:val="0"/>
        <w:rPr>
          <w:sz w:val="21"/>
          <w:szCs w:val="21"/>
        </w:rPr>
      </w:pPr>
      <w:r>
        <w:rPr>
          <w:rFonts w:hint="eastAsia"/>
          <w:sz w:val="21"/>
          <w:szCs w:val="21"/>
        </w:rPr>
        <w:t>国家标准、规范；</w:t>
      </w:r>
    </w:p>
    <w:p w14:paraId="16686D94">
      <w:pPr>
        <w:widowControl/>
        <w:numPr>
          <w:ilvl w:val="0"/>
          <w:numId w:val="30"/>
        </w:numPr>
        <w:adjustRightInd w:val="0"/>
        <w:snapToGrid w:val="0"/>
        <w:rPr>
          <w:sz w:val="21"/>
          <w:szCs w:val="21"/>
        </w:rPr>
      </w:pPr>
      <w:r>
        <w:rPr>
          <w:rFonts w:hint="eastAsia"/>
          <w:sz w:val="21"/>
          <w:szCs w:val="21"/>
        </w:rPr>
        <w:t>部颁标准、规范；</w:t>
      </w:r>
    </w:p>
    <w:p w14:paraId="7F7A5300">
      <w:pPr>
        <w:widowControl/>
        <w:numPr>
          <w:ilvl w:val="0"/>
          <w:numId w:val="30"/>
        </w:numPr>
        <w:adjustRightInd w:val="0"/>
        <w:snapToGrid w:val="0"/>
        <w:rPr>
          <w:sz w:val="21"/>
          <w:szCs w:val="21"/>
        </w:rPr>
      </w:pPr>
      <w:r>
        <w:rPr>
          <w:rFonts w:hint="eastAsia"/>
          <w:sz w:val="21"/>
          <w:szCs w:val="21"/>
        </w:rPr>
        <w:t>行业标准、规范；</w:t>
      </w:r>
    </w:p>
    <w:p w14:paraId="51C556A2">
      <w:pPr>
        <w:widowControl/>
        <w:numPr>
          <w:ilvl w:val="0"/>
          <w:numId w:val="30"/>
        </w:numPr>
        <w:adjustRightInd w:val="0"/>
        <w:snapToGrid w:val="0"/>
        <w:rPr>
          <w:sz w:val="21"/>
          <w:szCs w:val="21"/>
        </w:rPr>
      </w:pPr>
      <w:r>
        <w:rPr>
          <w:rFonts w:hint="eastAsia"/>
          <w:sz w:val="21"/>
          <w:szCs w:val="21"/>
        </w:rPr>
        <w:t>地方标准、规范；</w:t>
      </w:r>
    </w:p>
    <w:p w14:paraId="3575BABC">
      <w:pPr>
        <w:widowControl/>
        <w:numPr>
          <w:ilvl w:val="0"/>
          <w:numId w:val="30"/>
        </w:numPr>
        <w:adjustRightInd w:val="0"/>
        <w:snapToGrid w:val="0"/>
        <w:rPr>
          <w:sz w:val="21"/>
          <w:szCs w:val="21"/>
        </w:rPr>
      </w:pPr>
      <w:r>
        <w:rPr>
          <w:rFonts w:hint="eastAsia"/>
          <w:sz w:val="21"/>
          <w:szCs w:val="21"/>
        </w:rPr>
        <w:t>企业标准、规范。</w:t>
      </w:r>
    </w:p>
    <w:p w14:paraId="6836C47B">
      <w:pPr>
        <w:pStyle w:val="4"/>
        <w:rPr>
          <w:sz w:val="21"/>
          <w:szCs w:val="21"/>
        </w:rPr>
      </w:pPr>
      <w:bookmarkStart w:id="24" w:name="_Toc20468"/>
      <w:bookmarkStart w:id="25" w:name="_Toc24357"/>
      <w:r>
        <w:rPr>
          <w:rFonts w:hint="eastAsia"/>
          <w:sz w:val="21"/>
          <w:szCs w:val="21"/>
        </w:rPr>
        <w:t>单位制</w:t>
      </w:r>
      <w:bookmarkEnd w:id="24"/>
      <w:bookmarkEnd w:id="25"/>
    </w:p>
    <w:p w14:paraId="2A4E5D09">
      <w:pPr>
        <w:pStyle w:val="5"/>
        <w:rPr>
          <w:color w:val="auto"/>
          <w:szCs w:val="21"/>
        </w:rPr>
      </w:pPr>
      <w:r>
        <w:rPr>
          <w:rFonts w:hint="eastAsia"/>
          <w:color w:val="auto"/>
          <w:szCs w:val="21"/>
        </w:rPr>
        <w:t>所有设备的部件和元器件的设计、制造、安装都必须采用国际标准化组织规定的公制单位。</w:t>
      </w:r>
    </w:p>
    <w:p w14:paraId="2731F98B">
      <w:pPr>
        <w:pStyle w:val="5"/>
        <w:rPr>
          <w:color w:val="auto"/>
          <w:szCs w:val="21"/>
        </w:rPr>
      </w:pPr>
      <w:r>
        <w:rPr>
          <w:rFonts w:hint="eastAsia"/>
          <w:color w:val="auto"/>
          <w:szCs w:val="21"/>
        </w:rPr>
        <w:t>投标人提供的文件和资料的所有标注必须采用公制单位。</w:t>
      </w:r>
    </w:p>
    <w:p w14:paraId="35AB7F85">
      <w:pPr>
        <w:pStyle w:val="4"/>
        <w:rPr>
          <w:sz w:val="21"/>
          <w:szCs w:val="21"/>
        </w:rPr>
      </w:pPr>
      <w:bookmarkStart w:id="26" w:name="_Toc12218"/>
      <w:bookmarkStart w:id="27" w:name="_Toc14929"/>
      <w:r>
        <w:rPr>
          <w:rFonts w:hint="eastAsia"/>
          <w:sz w:val="21"/>
          <w:szCs w:val="21"/>
        </w:rPr>
        <w:t>特别说明</w:t>
      </w:r>
      <w:bookmarkEnd w:id="26"/>
      <w:bookmarkEnd w:id="27"/>
    </w:p>
    <w:p w14:paraId="040CD0E7">
      <w:pPr>
        <w:pStyle w:val="5"/>
        <w:rPr>
          <w:color w:val="auto"/>
          <w:szCs w:val="21"/>
        </w:rPr>
      </w:pPr>
      <w:r>
        <w:rPr>
          <w:rFonts w:hint="eastAsia"/>
          <w:color w:val="auto"/>
          <w:szCs w:val="21"/>
        </w:rPr>
        <w:t>本用户需求书中带有“须”的条款，表示该条款为强制性要求的条款。</w:t>
      </w:r>
    </w:p>
    <w:p w14:paraId="3411DE80">
      <w:pPr>
        <w:pStyle w:val="5"/>
        <w:rPr>
          <w:color w:val="auto"/>
          <w:szCs w:val="21"/>
        </w:rPr>
      </w:pPr>
      <w:r>
        <w:rPr>
          <w:rFonts w:hint="eastAsia"/>
          <w:color w:val="auto"/>
          <w:szCs w:val="21"/>
        </w:rPr>
        <w:t>本用户需求书中带有“应”的条款，表示该条款为严格性要求的条款，正常情况下均应遵循和满足。</w:t>
      </w:r>
    </w:p>
    <w:p w14:paraId="535F369A">
      <w:pPr>
        <w:pStyle w:val="5"/>
        <w:rPr>
          <w:color w:val="auto"/>
          <w:szCs w:val="21"/>
        </w:rPr>
      </w:pPr>
      <w:r>
        <w:rPr>
          <w:rFonts w:hint="eastAsia"/>
          <w:color w:val="auto"/>
          <w:szCs w:val="21"/>
        </w:rPr>
        <w:t>本用户需求书中带有“可”或“宜”的条款，表示该条款为可选性要求的条款。带有“宜”的条款表示允许稍有选择，在条件许可时首先应该遵循和满足；带有“可”的条款表示有选择，在一定的条件下可以这样做。</w:t>
      </w:r>
    </w:p>
    <w:p w14:paraId="0E4A13F7">
      <w:pPr>
        <w:pStyle w:val="5"/>
        <w:rPr>
          <w:color w:val="auto"/>
          <w:szCs w:val="21"/>
        </w:rPr>
      </w:pPr>
      <w:r>
        <w:rPr>
          <w:rFonts w:hint="eastAsia"/>
          <w:color w:val="auto"/>
          <w:szCs w:val="21"/>
        </w:rPr>
        <w:t>当本用户需求书的条款与招标文件商务部分的有关技术条款内容相类似或描述有冲突时，以本用户需求书的条款描述内容为准。</w:t>
      </w:r>
    </w:p>
    <w:p w14:paraId="6FC9DF95">
      <w:pPr>
        <w:pStyle w:val="5"/>
        <w:rPr>
          <w:color w:val="auto"/>
          <w:szCs w:val="21"/>
        </w:rPr>
      </w:pPr>
      <w:r>
        <w:rPr>
          <w:rFonts w:hint="eastAsia"/>
          <w:color w:val="auto"/>
          <w:szCs w:val="21"/>
        </w:rPr>
        <w:t>当本用户需求书的条款与招标文件商务部分的有关商务条款内容相类似或描述有冲突时，以《商务要求》的条款描述内容为准。</w:t>
      </w:r>
    </w:p>
    <w:p w14:paraId="5720264C">
      <w:pPr>
        <w:pStyle w:val="5"/>
        <w:rPr>
          <w:color w:val="auto"/>
          <w:szCs w:val="21"/>
        </w:rPr>
      </w:pPr>
      <w:r>
        <w:rPr>
          <w:rFonts w:hint="eastAsia"/>
          <w:color w:val="auto"/>
          <w:szCs w:val="21"/>
        </w:rPr>
        <w:t>当本用户需求书的“通用技术要求”部分与“专用技术要求”部分的条款内容相类似或描述有冲突时，以“专用技术要求”的条款描述内容为准。</w:t>
      </w:r>
    </w:p>
    <w:p w14:paraId="3EA13104">
      <w:pPr>
        <w:rPr>
          <w:sz w:val="21"/>
          <w:szCs w:val="21"/>
          <w:lang w:val="zh-CN"/>
        </w:rPr>
        <w:sectPr>
          <w:headerReference r:id="rId9" w:type="even"/>
          <w:pgSz w:w="11906" w:h="16838"/>
          <w:pgMar w:top="1418" w:right="1418" w:bottom="1418" w:left="1418" w:header="851" w:footer="851" w:gutter="0"/>
          <w:cols w:space="720" w:num="1"/>
          <w:docGrid w:linePitch="312" w:charSpace="0"/>
        </w:sectPr>
      </w:pPr>
    </w:p>
    <w:bookmarkEnd w:id="7"/>
    <w:p w14:paraId="76BD3248">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8" w:name="_Toc25915"/>
      <w:bookmarkStart w:id="29" w:name="_Toc13787"/>
      <w:bookmarkStart w:id="30" w:name="_Toc234326087"/>
      <w:bookmarkStart w:id="31" w:name="_Toc128138250"/>
      <w:bookmarkStart w:id="32" w:name="_Toc128120867"/>
      <w:bookmarkStart w:id="33" w:name="_Toc234325764"/>
      <w:bookmarkStart w:id="34" w:name="_Toc234325819"/>
      <w:bookmarkStart w:id="35" w:name="_Toc222158676"/>
      <w:bookmarkStart w:id="36" w:name="_Toc128139516"/>
      <w:bookmarkStart w:id="37" w:name="_Toc222346783"/>
      <w:bookmarkStart w:id="38" w:name="_Toc130291464"/>
      <w:bookmarkStart w:id="39" w:name="_Toc222157575"/>
      <w:bookmarkStart w:id="40" w:name="_Toc128137742"/>
      <w:bookmarkStart w:id="41" w:name="_Toc128122837"/>
      <w:bookmarkStart w:id="42" w:name="_Toc128121060"/>
      <w:bookmarkStart w:id="43" w:name="_Toc215915221"/>
      <w:bookmarkStart w:id="44" w:name="_Toc128139235"/>
      <w:bookmarkStart w:id="45" w:name="_Toc130876938"/>
      <w:bookmarkStart w:id="46" w:name="_Toc237702724"/>
      <w:bookmarkStart w:id="47" w:name="_Toc222816850"/>
      <w:bookmarkStart w:id="48" w:name="_Toc259981388"/>
      <w:bookmarkStart w:id="49" w:name="_Toc128141393"/>
      <w:bookmarkStart w:id="50" w:name="_Toc222157713"/>
      <w:bookmarkStart w:id="51" w:name="_Toc222347317"/>
      <w:bookmarkStart w:id="52" w:name="_Toc131867792"/>
      <w:bookmarkStart w:id="53" w:name="_Toc128137326"/>
      <w:bookmarkStart w:id="54" w:name="_Toc128138004"/>
      <w:bookmarkStart w:id="55" w:name="_Toc128138620"/>
      <w:bookmarkStart w:id="56" w:name="_Toc234326355"/>
      <w:bookmarkStart w:id="57" w:name="_Toc222347147"/>
      <w:bookmarkStart w:id="58" w:name="_Toc128223190"/>
      <w:bookmarkStart w:id="59" w:name="_Toc128141094"/>
      <w:bookmarkStart w:id="60" w:name="_Toc222347487"/>
      <w:bookmarkStart w:id="61" w:name="_Toc128140916"/>
      <w:bookmarkStart w:id="62" w:name="_Toc234326623"/>
      <w:bookmarkStart w:id="63" w:name="_Toc222347657"/>
      <w:bookmarkStart w:id="64" w:name="_Toc128139924"/>
      <w:bookmarkStart w:id="65" w:name="_Toc222346616"/>
      <w:bookmarkStart w:id="66" w:name="_Toc128140491"/>
      <w:bookmarkStart w:id="67" w:name="_Toc215388185"/>
      <w:bookmarkStart w:id="68" w:name="_Toc231185027"/>
      <w:bookmarkStart w:id="69" w:name="_Toc222346886"/>
      <w:bookmarkStart w:id="70" w:name="_Toc128139022"/>
      <w:r>
        <w:rPr>
          <w:rFonts w:hint="eastAsia" w:ascii="Times New Roman" w:hAnsi="Times New Roman" w:eastAsia="宋体"/>
          <w:b/>
          <w:bCs/>
          <w:sz w:val="21"/>
          <w:szCs w:val="21"/>
          <w:lang w:val="en-US"/>
        </w:rPr>
        <w:t>项目</w:t>
      </w:r>
      <w:r>
        <w:rPr>
          <w:rFonts w:ascii="Times New Roman" w:hAnsi="Times New Roman" w:eastAsia="宋体"/>
          <w:b/>
          <w:bCs/>
          <w:sz w:val="21"/>
          <w:szCs w:val="21"/>
        </w:rPr>
        <w:t>概况</w:t>
      </w:r>
      <w:bookmarkEnd w:id="28"/>
      <w:bookmarkEnd w:id="29"/>
    </w:p>
    <w:p w14:paraId="2265ADDF">
      <w:pPr>
        <w:pStyle w:val="4"/>
        <w:rPr>
          <w:sz w:val="21"/>
          <w:szCs w:val="21"/>
        </w:rPr>
      </w:pPr>
      <w:bookmarkStart w:id="71" w:name="_Toc128137327"/>
      <w:bookmarkStart w:id="72" w:name="_Toc222347148"/>
      <w:bookmarkStart w:id="73" w:name="_Toc234326088"/>
      <w:bookmarkStart w:id="74" w:name="_Toc259981389"/>
      <w:bookmarkStart w:id="75" w:name="_Toc222157576"/>
      <w:bookmarkStart w:id="76" w:name="_Toc128141394"/>
      <w:bookmarkStart w:id="77" w:name="_Toc222158677"/>
      <w:bookmarkStart w:id="78" w:name="_Toc222347488"/>
      <w:bookmarkStart w:id="79" w:name="_Toc127815688"/>
      <w:bookmarkStart w:id="80" w:name="_Toc234325820"/>
      <w:bookmarkStart w:id="81" w:name="_Toc222347658"/>
      <w:bookmarkStart w:id="82" w:name="_Toc128141095"/>
      <w:bookmarkStart w:id="83" w:name="_Toc128139236"/>
      <w:bookmarkStart w:id="84" w:name="_Toc215388186"/>
      <w:bookmarkStart w:id="85" w:name="_Toc237702725"/>
      <w:bookmarkStart w:id="86" w:name="_Toc128137743"/>
      <w:bookmarkStart w:id="87" w:name="_Toc131867793"/>
      <w:bookmarkStart w:id="88" w:name="_Toc128223191"/>
      <w:bookmarkStart w:id="89" w:name="_Toc128122838"/>
      <w:bookmarkStart w:id="90" w:name="_Toc128138621"/>
      <w:bookmarkStart w:id="91" w:name="_Toc128120868"/>
      <w:bookmarkStart w:id="92" w:name="_Toc130291465"/>
      <w:bookmarkStart w:id="93" w:name="_Toc128138005"/>
      <w:bookmarkStart w:id="94" w:name="_Toc231185028"/>
      <w:bookmarkStart w:id="95" w:name="_Toc28684"/>
      <w:bookmarkStart w:id="96" w:name="_Toc128140492"/>
      <w:bookmarkStart w:id="97" w:name="_Toc222157714"/>
      <w:bookmarkStart w:id="98" w:name="_Toc234326624"/>
      <w:bookmarkStart w:id="99" w:name="_Toc128138251"/>
      <w:bookmarkStart w:id="100" w:name="_Toc234326356"/>
      <w:bookmarkStart w:id="101" w:name="_Toc128139023"/>
      <w:bookmarkStart w:id="102" w:name="_Toc222347318"/>
      <w:bookmarkStart w:id="103" w:name="_Toc128139517"/>
      <w:bookmarkStart w:id="104" w:name="_Toc128139925"/>
      <w:bookmarkStart w:id="105" w:name="_Toc222346887"/>
      <w:bookmarkStart w:id="106" w:name="_Toc494"/>
      <w:bookmarkStart w:id="107" w:name="_Toc128140917"/>
      <w:r>
        <w:rPr>
          <w:rFonts w:hint="eastAsia"/>
          <w:sz w:val="21"/>
          <w:szCs w:val="21"/>
          <w:lang w:val="en-US"/>
        </w:rPr>
        <w:t>政策背景</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14:paraId="5F22057D">
      <w:pPr>
        <w:ind w:firstLine="420" w:firstLineChars="200"/>
        <w:rPr>
          <w:bCs/>
          <w:sz w:val="21"/>
          <w:szCs w:val="21"/>
          <w:lang w:val="zh-CN"/>
        </w:rPr>
      </w:pPr>
      <w:r>
        <w:rPr>
          <w:rFonts w:hint="eastAsia"/>
          <w:bCs/>
          <w:sz w:val="21"/>
          <w:szCs w:val="21"/>
          <w:lang w:val="zh-CN"/>
        </w:rPr>
        <w:t>在国家推行的“2+8+N”行业信息技术创新政策体系指导下，信创战略已经跃升为国家发展战略的核心支点之一，并在交通行业内被视为企业数字化转型不可或缺的关键一环。立足于国产化信息技术生态，信创适配与信息化建设工程在国内交通企业中深入开展，有力驱动了企业在技术创新能力提升、产业结构升级和安全自主可控等关键领域的实质性进展。目前，众多</w:t>
      </w:r>
      <w:r>
        <w:rPr>
          <w:rFonts w:hint="eastAsia"/>
          <w:bCs/>
          <w:sz w:val="21"/>
          <w:szCs w:val="21"/>
          <w:lang w:val="en-US" w:eastAsia="zh-CN"/>
        </w:rPr>
        <w:t>国内</w:t>
      </w:r>
      <w:r>
        <w:rPr>
          <w:rFonts w:hint="eastAsia"/>
          <w:bCs/>
          <w:sz w:val="21"/>
          <w:szCs w:val="21"/>
          <w:lang w:val="zh-CN"/>
        </w:rPr>
        <w:t>交通企业积极响应国家战略，正在稳步推进基于国产信创技术的数字化基础架构建设，以期构筑稳健且具有自主知识产权的数字化基石。</w:t>
      </w:r>
    </w:p>
    <w:p w14:paraId="66184AC5">
      <w:pPr>
        <w:pStyle w:val="4"/>
        <w:rPr>
          <w:sz w:val="21"/>
          <w:szCs w:val="21"/>
        </w:rPr>
      </w:pPr>
      <w:bookmarkStart w:id="108" w:name="_Toc32562"/>
      <w:bookmarkStart w:id="109" w:name="_Toc308"/>
      <w:r>
        <w:rPr>
          <w:rFonts w:hint="eastAsia"/>
          <w:sz w:val="21"/>
          <w:szCs w:val="21"/>
          <w:lang w:val="en-US"/>
        </w:rPr>
        <w:t>现状情况</w:t>
      </w:r>
      <w:bookmarkEnd w:id="108"/>
      <w:bookmarkEnd w:id="109"/>
    </w:p>
    <w:p w14:paraId="57800BE9">
      <w:pPr>
        <w:ind w:firstLine="420" w:firstLineChars="200"/>
        <w:rPr>
          <w:bCs/>
          <w:sz w:val="21"/>
          <w:szCs w:val="21"/>
        </w:rPr>
      </w:pPr>
      <w:r>
        <w:rPr>
          <w:rFonts w:hint="eastAsia"/>
          <w:bCs/>
          <w:sz w:val="21"/>
          <w:szCs w:val="21"/>
        </w:rPr>
        <w:t>现行所采用的云计算管理平台，系</w:t>
      </w:r>
      <w:r>
        <w:rPr>
          <w:rFonts w:hint="eastAsia"/>
          <w:bCs/>
          <w:sz w:val="21"/>
          <w:szCs w:val="21"/>
          <w:lang w:val="en-US" w:eastAsia="zh-CN"/>
        </w:rPr>
        <w:t>现有业务平台</w:t>
      </w:r>
      <w:r>
        <w:rPr>
          <w:rFonts w:hint="eastAsia"/>
          <w:bCs/>
          <w:sz w:val="21"/>
          <w:szCs w:val="21"/>
        </w:rPr>
        <w:t>核心构建单元之一，该项目自2018年1月起，由广州市品高软件股份有限公司承建。云管平台囊括了虚拟化技术、分布式存储架构以及全面的云资源管理系统，旨在对服务器和存储资源实行深层次的云化整合与管理。然现阶段面临的问题是，现有的基于X86架构的私有云资源池容量已无法充分满足新增业务上线的需求，以及我国政府坚定推进的国家信息技术创新（信创）战略方针。鉴于此，本项目计划构建一套全新的基于国产化信息技术自主创新成果的</w:t>
      </w:r>
      <w:r>
        <w:rPr>
          <w:rFonts w:hint="eastAsia"/>
          <w:bCs/>
          <w:sz w:val="21"/>
          <w:szCs w:val="21"/>
          <w:lang w:eastAsia="zh-CN"/>
        </w:rPr>
        <w:t>管理云平台</w:t>
      </w:r>
      <w:r>
        <w:rPr>
          <w:rFonts w:hint="eastAsia"/>
          <w:bCs/>
          <w:sz w:val="21"/>
          <w:szCs w:val="21"/>
        </w:rPr>
        <w:t>及相关配套硬件设施，旨在提供充足且符合国产化业务应用部署要求的基础资源储备。此番革新旨在实现自主可控的信息技术体系构建，确保业务运营的安全性和可靠性，通过建立自主研发、安全可靠的</w:t>
      </w:r>
      <w:r>
        <w:rPr>
          <w:rFonts w:hint="eastAsia"/>
          <w:bCs/>
          <w:sz w:val="21"/>
          <w:szCs w:val="21"/>
          <w:lang w:eastAsia="zh-CN"/>
        </w:rPr>
        <w:t>管理云平台</w:t>
      </w:r>
      <w:r>
        <w:rPr>
          <w:rFonts w:hint="eastAsia"/>
          <w:bCs/>
          <w:sz w:val="21"/>
          <w:szCs w:val="21"/>
        </w:rPr>
        <w:t>，有效避免受制于外部技术制裁风险，从根本上杜绝因技术依赖而可能出现的数据泄露隐患。此项构建国产化信创</w:t>
      </w:r>
      <w:r>
        <w:rPr>
          <w:rFonts w:hint="eastAsia"/>
          <w:bCs/>
          <w:sz w:val="21"/>
          <w:szCs w:val="21"/>
          <w:lang w:eastAsia="zh-CN"/>
        </w:rPr>
        <w:t>管理云平台</w:t>
      </w:r>
      <w:r>
        <w:rPr>
          <w:rFonts w:hint="eastAsia"/>
          <w:bCs/>
          <w:sz w:val="21"/>
          <w:szCs w:val="21"/>
        </w:rPr>
        <w:t>的举措，将成为</w:t>
      </w:r>
      <w:r>
        <w:rPr>
          <w:rFonts w:hint="eastAsia"/>
          <w:bCs/>
          <w:sz w:val="21"/>
          <w:szCs w:val="21"/>
          <w:lang w:val="en-US" w:eastAsia="zh-CN"/>
        </w:rPr>
        <w:t>使用方</w:t>
      </w:r>
      <w:r>
        <w:rPr>
          <w:rFonts w:hint="eastAsia"/>
          <w:bCs/>
          <w:sz w:val="21"/>
          <w:szCs w:val="21"/>
        </w:rPr>
        <w:t>在信息化建设征程中，追求自主可控、高效安全的重要阶段性成果，有力推动其信息化服务水平迈上新的台阶。</w:t>
      </w:r>
    </w:p>
    <w:p w14:paraId="7997E259">
      <w:pPr>
        <w:pStyle w:val="4"/>
        <w:rPr>
          <w:sz w:val="21"/>
          <w:szCs w:val="21"/>
        </w:rPr>
      </w:pPr>
      <w:bookmarkStart w:id="110" w:name="_Toc28225"/>
      <w:bookmarkStart w:id="111" w:name="_Toc1545"/>
      <w:r>
        <w:rPr>
          <w:rFonts w:hint="eastAsia"/>
          <w:sz w:val="21"/>
          <w:szCs w:val="21"/>
          <w:lang w:val="en-US"/>
        </w:rPr>
        <w:t>项目工期</w:t>
      </w:r>
      <w:bookmarkEnd w:id="110"/>
      <w:bookmarkEnd w:id="111"/>
    </w:p>
    <w:p w14:paraId="30056B17">
      <w:pPr>
        <w:pStyle w:val="1221"/>
        <w:numPr>
          <w:ilvl w:val="3"/>
          <w:numId w:val="0"/>
        </w:numPr>
        <w:ind w:firstLine="630" w:firstLineChars="300"/>
        <w:jc w:val="both"/>
        <w:outlineLvl w:val="9"/>
        <w:rPr>
          <w:szCs w:val="21"/>
        </w:rPr>
      </w:pPr>
      <w:bookmarkStart w:id="112" w:name="_Toc222158679"/>
      <w:bookmarkStart w:id="113" w:name="_Toc234325822"/>
      <w:bookmarkStart w:id="114" w:name="_Toc222347150"/>
      <w:bookmarkStart w:id="115" w:name="_Toc222347660"/>
      <w:bookmarkStart w:id="116" w:name="_Toc237702727"/>
      <w:bookmarkStart w:id="117" w:name="_Toc234326626"/>
      <w:bookmarkStart w:id="118" w:name="_Toc234326358"/>
      <w:bookmarkStart w:id="119" w:name="_Toc231185030"/>
      <w:bookmarkStart w:id="120" w:name="_Toc222157578"/>
      <w:bookmarkStart w:id="121" w:name="_Toc222347490"/>
      <w:bookmarkStart w:id="122" w:name="_Toc259981391"/>
      <w:bookmarkStart w:id="123" w:name="_Toc222157716"/>
      <w:bookmarkStart w:id="124" w:name="_Toc222347320"/>
      <w:bookmarkStart w:id="125" w:name="_Toc222346889"/>
      <w:bookmarkStart w:id="126" w:name="_Toc234326090"/>
      <w:r>
        <w:rPr>
          <w:rFonts w:hint="eastAsia"/>
          <w:szCs w:val="21"/>
        </w:rPr>
        <w:t>本项目关键</w:t>
      </w:r>
      <w:r>
        <w:rPr>
          <w:szCs w:val="21"/>
        </w:rPr>
        <w:t>工期执行计划如下表所示：</w:t>
      </w:r>
    </w:p>
    <w:p w14:paraId="3A98F5AB">
      <w:pPr>
        <w:jc w:val="right"/>
        <w:rPr>
          <w:sz w:val="21"/>
          <w:szCs w:val="21"/>
        </w:rPr>
      </w:pPr>
    </w:p>
    <w:tbl>
      <w:tblPr>
        <w:tblStyle w:val="87"/>
        <w:tblW w:w="84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3686"/>
        <w:gridCol w:w="2651"/>
        <w:gridCol w:w="1409"/>
      </w:tblGrid>
      <w:tr w14:paraId="281E3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660" w:type="dxa"/>
            <w:shd w:val="clear" w:color="auto" w:fill="B3B3B3"/>
            <w:vAlign w:val="center"/>
          </w:tcPr>
          <w:p w14:paraId="5FE9C45A">
            <w:pPr>
              <w:pStyle w:val="360"/>
              <w:spacing w:line="400" w:lineRule="exact"/>
              <w:ind w:left="636" w:hanging="636" w:hangingChars="300"/>
              <w:jc w:val="center"/>
              <w:rPr>
                <w:sz w:val="21"/>
              </w:rPr>
            </w:pPr>
            <w:bookmarkStart w:id="127" w:name="_Toc355943187"/>
            <w:bookmarkStart w:id="128" w:name="_Toc355941776"/>
            <w:r>
              <w:rPr>
                <w:sz w:val="21"/>
              </w:rPr>
              <w:t>序号</w:t>
            </w:r>
          </w:p>
        </w:tc>
        <w:tc>
          <w:tcPr>
            <w:tcW w:w="3686" w:type="dxa"/>
            <w:shd w:val="clear" w:color="auto" w:fill="B3B3B3"/>
            <w:vAlign w:val="center"/>
          </w:tcPr>
          <w:p w14:paraId="06D555B4">
            <w:pPr>
              <w:pStyle w:val="360"/>
              <w:spacing w:line="400" w:lineRule="exact"/>
              <w:ind w:left="636" w:hanging="636" w:hangingChars="300"/>
              <w:jc w:val="center"/>
              <w:rPr>
                <w:sz w:val="21"/>
              </w:rPr>
            </w:pPr>
            <w:r>
              <w:rPr>
                <w:sz w:val="21"/>
              </w:rPr>
              <w:t>内  容</w:t>
            </w:r>
          </w:p>
        </w:tc>
        <w:tc>
          <w:tcPr>
            <w:tcW w:w="2651" w:type="dxa"/>
            <w:shd w:val="clear" w:color="auto" w:fill="B3B3B3"/>
            <w:vAlign w:val="center"/>
          </w:tcPr>
          <w:p w14:paraId="37D1C36D">
            <w:pPr>
              <w:pStyle w:val="360"/>
              <w:spacing w:line="400" w:lineRule="exact"/>
              <w:ind w:left="636" w:hanging="636" w:hangingChars="300"/>
              <w:jc w:val="center"/>
              <w:rPr>
                <w:rFonts w:hint="eastAsia" w:eastAsia="宋体"/>
                <w:sz w:val="21"/>
                <w:lang w:eastAsia="zh-CN"/>
              </w:rPr>
            </w:pPr>
            <w:r>
              <w:rPr>
                <w:rFonts w:hint="eastAsia"/>
                <w:sz w:val="21"/>
                <w:lang w:eastAsia="zh-CN"/>
              </w:rPr>
              <w:t>时间</w:t>
            </w:r>
          </w:p>
        </w:tc>
        <w:tc>
          <w:tcPr>
            <w:tcW w:w="1409" w:type="dxa"/>
            <w:shd w:val="clear" w:color="auto" w:fill="B3B3B3"/>
            <w:vAlign w:val="center"/>
          </w:tcPr>
          <w:p w14:paraId="7AD22F23">
            <w:pPr>
              <w:pStyle w:val="360"/>
              <w:spacing w:line="400" w:lineRule="exact"/>
              <w:ind w:left="636" w:hanging="636" w:hangingChars="300"/>
              <w:jc w:val="center"/>
              <w:rPr>
                <w:sz w:val="21"/>
              </w:rPr>
            </w:pPr>
            <w:r>
              <w:rPr>
                <w:sz w:val="21"/>
              </w:rPr>
              <w:t>备  注</w:t>
            </w:r>
          </w:p>
        </w:tc>
      </w:tr>
      <w:tr w14:paraId="4950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60" w:type="dxa"/>
            <w:vAlign w:val="center"/>
          </w:tcPr>
          <w:p w14:paraId="5061A9C8">
            <w:pPr>
              <w:pStyle w:val="360"/>
              <w:spacing w:line="400" w:lineRule="exact"/>
              <w:ind w:left="636" w:hanging="636" w:hangingChars="300"/>
              <w:jc w:val="center"/>
              <w:rPr>
                <w:sz w:val="21"/>
              </w:rPr>
            </w:pPr>
            <w:r>
              <w:rPr>
                <w:sz w:val="21"/>
              </w:rPr>
              <w:t>1</w:t>
            </w:r>
          </w:p>
        </w:tc>
        <w:tc>
          <w:tcPr>
            <w:tcW w:w="3686" w:type="dxa"/>
          </w:tcPr>
          <w:p w14:paraId="7E9934CC">
            <w:pPr>
              <w:pStyle w:val="360"/>
              <w:spacing w:line="400" w:lineRule="exact"/>
              <w:ind w:left="636" w:hanging="636" w:hangingChars="300"/>
              <w:jc w:val="center"/>
              <w:rPr>
                <w:sz w:val="21"/>
              </w:rPr>
            </w:pPr>
            <w:r>
              <w:rPr>
                <w:rFonts w:hint="eastAsia"/>
                <w:sz w:val="21"/>
              </w:rPr>
              <w:t>设备到货</w:t>
            </w:r>
          </w:p>
        </w:tc>
        <w:tc>
          <w:tcPr>
            <w:tcW w:w="2651" w:type="dxa"/>
          </w:tcPr>
          <w:p w14:paraId="5F493787">
            <w:pPr>
              <w:pStyle w:val="360"/>
              <w:spacing w:line="400" w:lineRule="exact"/>
              <w:ind w:left="636" w:hanging="636" w:hangingChars="300"/>
              <w:jc w:val="center"/>
              <w:rPr>
                <w:rFonts w:hint="default" w:eastAsia="宋体"/>
                <w:sz w:val="21"/>
                <w:lang w:val="en-US" w:eastAsia="zh-CN"/>
              </w:rPr>
            </w:pPr>
            <w:r>
              <w:rPr>
                <w:rFonts w:hint="eastAsia"/>
                <w:sz w:val="21"/>
                <w:lang w:val="en-US" w:eastAsia="zh-CN"/>
              </w:rPr>
              <w:t>2024年10月</w:t>
            </w:r>
          </w:p>
        </w:tc>
        <w:tc>
          <w:tcPr>
            <w:tcW w:w="1409" w:type="dxa"/>
          </w:tcPr>
          <w:p w14:paraId="021BA9E1">
            <w:pPr>
              <w:pStyle w:val="360"/>
              <w:spacing w:line="400" w:lineRule="exact"/>
              <w:ind w:left="636" w:hanging="636" w:hangingChars="300"/>
              <w:jc w:val="center"/>
              <w:rPr>
                <w:sz w:val="21"/>
              </w:rPr>
            </w:pPr>
          </w:p>
        </w:tc>
      </w:tr>
      <w:tr w14:paraId="2B984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60" w:type="dxa"/>
            <w:vAlign w:val="center"/>
          </w:tcPr>
          <w:p w14:paraId="63AE7089">
            <w:pPr>
              <w:pStyle w:val="360"/>
              <w:spacing w:line="400" w:lineRule="exact"/>
              <w:ind w:left="636" w:hanging="636" w:hangingChars="300"/>
              <w:jc w:val="center"/>
              <w:rPr>
                <w:sz w:val="21"/>
              </w:rPr>
            </w:pPr>
            <w:r>
              <w:rPr>
                <w:sz w:val="21"/>
              </w:rPr>
              <w:t>2</w:t>
            </w:r>
          </w:p>
        </w:tc>
        <w:tc>
          <w:tcPr>
            <w:tcW w:w="3686" w:type="dxa"/>
          </w:tcPr>
          <w:p w14:paraId="32522507">
            <w:pPr>
              <w:pStyle w:val="360"/>
              <w:spacing w:line="400" w:lineRule="exact"/>
              <w:ind w:left="636" w:hanging="636" w:hangingChars="300"/>
              <w:jc w:val="center"/>
              <w:rPr>
                <w:rFonts w:hint="eastAsia" w:eastAsia="宋体"/>
                <w:sz w:val="21"/>
                <w:lang w:val="en-US" w:eastAsia="zh-CN"/>
              </w:rPr>
            </w:pPr>
            <w:r>
              <w:rPr>
                <w:sz w:val="21"/>
              </w:rPr>
              <w:t>系统设备安装</w:t>
            </w:r>
            <w:r>
              <w:rPr>
                <w:rFonts w:hint="eastAsia"/>
                <w:sz w:val="21"/>
                <w:lang w:eastAsia="zh-CN"/>
              </w:rPr>
              <w:t>完成</w:t>
            </w:r>
          </w:p>
        </w:tc>
        <w:tc>
          <w:tcPr>
            <w:tcW w:w="2651" w:type="dxa"/>
          </w:tcPr>
          <w:p w14:paraId="6D5A3241">
            <w:pPr>
              <w:pStyle w:val="360"/>
              <w:spacing w:line="400" w:lineRule="exact"/>
              <w:ind w:left="636" w:hanging="636" w:hangingChars="300"/>
              <w:jc w:val="center"/>
              <w:rPr>
                <w:rFonts w:hint="default" w:eastAsia="宋体"/>
                <w:sz w:val="21"/>
                <w:lang w:val="en-US" w:eastAsia="zh-CN"/>
              </w:rPr>
            </w:pPr>
            <w:r>
              <w:rPr>
                <w:rFonts w:hint="eastAsia"/>
                <w:sz w:val="21"/>
              </w:rPr>
              <w:t>2024</w:t>
            </w:r>
            <w:r>
              <w:rPr>
                <w:rFonts w:hint="eastAsia"/>
                <w:sz w:val="21"/>
                <w:lang w:eastAsia="zh-CN"/>
              </w:rPr>
              <w:t>年</w:t>
            </w:r>
            <w:r>
              <w:rPr>
                <w:rFonts w:hint="eastAsia"/>
                <w:sz w:val="21"/>
              </w:rPr>
              <w:t>11</w:t>
            </w:r>
            <w:r>
              <w:rPr>
                <w:rFonts w:hint="eastAsia"/>
                <w:sz w:val="21"/>
                <w:lang w:eastAsia="zh-CN"/>
              </w:rPr>
              <w:t>月</w:t>
            </w:r>
          </w:p>
        </w:tc>
        <w:tc>
          <w:tcPr>
            <w:tcW w:w="1409" w:type="dxa"/>
          </w:tcPr>
          <w:p w14:paraId="1180E2EC">
            <w:pPr>
              <w:pStyle w:val="360"/>
              <w:spacing w:line="400" w:lineRule="exact"/>
              <w:ind w:left="636" w:hanging="636" w:hangingChars="300"/>
              <w:jc w:val="center"/>
              <w:rPr>
                <w:sz w:val="21"/>
              </w:rPr>
            </w:pPr>
          </w:p>
        </w:tc>
      </w:tr>
      <w:tr w14:paraId="3C0DE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60" w:type="dxa"/>
            <w:vAlign w:val="center"/>
          </w:tcPr>
          <w:p w14:paraId="42093EC7">
            <w:pPr>
              <w:pStyle w:val="360"/>
              <w:spacing w:line="400" w:lineRule="exact"/>
              <w:ind w:left="636" w:hanging="636" w:hangingChars="300"/>
              <w:jc w:val="center"/>
              <w:rPr>
                <w:sz w:val="21"/>
              </w:rPr>
            </w:pPr>
            <w:r>
              <w:rPr>
                <w:sz w:val="21"/>
              </w:rPr>
              <w:t>3</w:t>
            </w:r>
          </w:p>
        </w:tc>
        <w:tc>
          <w:tcPr>
            <w:tcW w:w="3686" w:type="dxa"/>
          </w:tcPr>
          <w:p w14:paraId="78E3BB0B">
            <w:pPr>
              <w:pStyle w:val="360"/>
              <w:spacing w:line="400" w:lineRule="exact"/>
              <w:ind w:left="636" w:hanging="636" w:hangingChars="300"/>
              <w:jc w:val="center"/>
              <w:rPr>
                <w:rFonts w:hint="eastAsia" w:eastAsia="宋体"/>
                <w:sz w:val="21"/>
                <w:lang w:eastAsia="zh-CN"/>
              </w:rPr>
            </w:pPr>
            <w:r>
              <w:rPr>
                <w:sz w:val="21"/>
              </w:rPr>
              <w:t>系统</w:t>
            </w:r>
            <w:r>
              <w:rPr>
                <w:rFonts w:hint="eastAsia"/>
                <w:sz w:val="21"/>
              </w:rPr>
              <w:t>调试</w:t>
            </w:r>
            <w:r>
              <w:rPr>
                <w:rFonts w:hint="eastAsia"/>
                <w:sz w:val="21"/>
                <w:lang w:eastAsia="zh-CN"/>
              </w:rPr>
              <w:t>通过</w:t>
            </w:r>
          </w:p>
        </w:tc>
        <w:tc>
          <w:tcPr>
            <w:tcW w:w="2651" w:type="dxa"/>
          </w:tcPr>
          <w:p w14:paraId="4097D037">
            <w:pPr>
              <w:pStyle w:val="360"/>
              <w:spacing w:line="400" w:lineRule="exact"/>
              <w:ind w:left="636" w:hanging="636" w:hangingChars="300"/>
              <w:jc w:val="center"/>
              <w:rPr>
                <w:rFonts w:hint="default" w:eastAsia="宋体"/>
                <w:sz w:val="21"/>
                <w:lang w:val="en-US" w:eastAsia="zh-CN"/>
              </w:rPr>
            </w:pPr>
            <w:r>
              <w:rPr>
                <w:rFonts w:hint="eastAsia"/>
                <w:sz w:val="21"/>
              </w:rPr>
              <w:t>2024</w:t>
            </w:r>
            <w:r>
              <w:rPr>
                <w:rFonts w:hint="eastAsia"/>
                <w:sz w:val="21"/>
                <w:lang w:eastAsia="zh-CN"/>
              </w:rPr>
              <w:t>年</w:t>
            </w:r>
            <w:r>
              <w:rPr>
                <w:rFonts w:hint="eastAsia"/>
                <w:sz w:val="21"/>
              </w:rPr>
              <w:t>11</w:t>
            </w:r>
            <w:r>
              <w:rPr>
                <w:rFonts w:hint="eastAsia"/>
                <w:sz w:val="21"/>
                <w:lang w:eastAsia="zh-CN"/>
              </w:rPr>
              <w:t>月</w:t>
            </w:r>
          </w:p>
        </w:tc>
        <w:tc>
          <w:tcPr>
            <w:tcW w:w="1409" w:type="dxa"/>
          </w:tcPr>
          <w:p w14:paraId="54C99ABA">
            <w:pPr>
              <w:pStyle w:val="360"/>
              <w:spacing w:line="400" w:lineRule="exact"/>
              <w:ind w:left="636" w:hanging="636" w:hangingChars="300"/>
              <w:jc w:val="center"/>
              <w:rPr>
                <w:sz w:val="21"/>
              </w:rPr>
            </w:pPr>
          </w:p>
        </w:tc>
      </w:tr>
      <w:tr w14:paraId="69FAE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60" w:type="dxa"/>
            <w:vAlign w:val="center"/>
          </w:tcPr>
          <w:p w14:paraId="3C359811">
            <w:pPr>
              <w:pStyle w:val="360"/>
              <w:spacing w:line="400" w:lineRule="exact"/>
              <w:ind w:left="636" w:hanging="636" w:hangingChars="300"/>
              <w:jc w:val="center"/>
              <w:rPr>
                <w:sz w:val="21"/>
              </w:rPr>
            </w:pPr>
            <w:r>
              <w:rPr>
                <w:sz w:val="21"/>
              </w:rPr>
              <w:t>4</w:t>
            </w:r>
          </w:p>
        </w:tc>
        <w:tc>
          <w:tcPr>
            <w:tcW w:w="3686" w:type="dxa"/>
          </w:tcPr>
          <w:p w14:paraId="2B125DE7">
            <w:pPr>
              <w:pStyle w:val="360"/>
              <w:spacing w:line="400" w:lineRule="exact"/>
              <w:ind w:left="636" w:hanging="636" w:hangingChars="300"/>
              <w:jc w:val="center"/>
              <w:rPr>
                <w:rFonts w:hint="eastAsia" w:eastAsia="宋体"/>
                <w:sz w:val="21"/>
                <w:lang w:eastAsia="zh-CN"/>
              </w:rPr>
            </w:pPr>
            <w:r>
              <w:rPr>
                <w:rFonts w:hint="eastAsia"/>
                <w:sz w:val="21"/>
              </w:rPr>
              <w:t>试运行</w:t>
            </w:r>
            <w:r>
              <w:rPr>
                <w:rFonts w:hint="eastAsia"/>
                <w:sz w:val="21"/>
                <w:lang w:eastAsia="zh-CN"/>
              </w:rPr>
              <w:t>通过</w:t>
            </w:r>
          </w:p>
        </w:tc>
        <w:tc>
          <w:tcPr>
            <w:tcW w:w="2651" w:type="dxa"/>
          </w:tcPr>
          <w:p w14:paraId="26D4DAF2">
            <w:pPr>
              <w:pStyle w:val="360"/>
              <w:spacing w:line="400" w:lineRule="exact"/>
              <w:ind w:left="636" w:hanging="636" w:hangingChars="300"/>
              <w:jc w:val="center"/>
              <w:rPr>
                <w:rFonts w:hint="default" w:eastAsia="宋体"/>
                <w:sz w:val="21"/>
                <w:lang w:val="en-US" w:eastAsia="zh-CN"/>
              </w:rPr>
            </w:pPr>
            <w:r>
              <w:rPr>
                <w:sz w:val="21"/>
              </w:rPr>
              <w:t>202</w:t>
            </w:r>
            <w:r>
              <w:rPr>
                <w:rFonts w:hint="eastAsia"/>
                <w:sz w:val="21"/>
              </w:rPr>
              <w:t>5</w:t>
            </w:r>
            <w:r>
              <w:rPr>
                <w:rFonts w:hint="eastAsia"/>
                <w:sz w:val="21"/>
                <w:lang w:eastAsia="zh-CN"/>
              </w:rPr>
              <w:t>年</w:t>
            </w:r>
            <w:r>
              <w:rPr>
                <w:rFonts w:hint="eastAsia"/>
                <w:sz w:val="21"/>
              </w:rPr>
              <w:t>2</w:t>
            </w:r>
            <w:r>
              <w:rPr>
                <w:rFonts w:hint="eastAsia"/>
                <w:sz w:val="21"/>
                <w:lang w:eastAsia="zh-CN"/>
              </w:rPr>
              <w:t>月</w:t>
            </w:r>
          </w:p>
        </w:tc>
        <w:tc>
          <w:tcPr>
            <w:tcW w:w="1409" w:type="dxa"/>
          </w:tcPr>
          <w:p w14:paraId="78A60ECD">
            <w:pPr>
              <w:pStyle w:val="360"/>
              <w:spacing w:line="400" w:lineRule="exact"/>
              <w:ind w:left="636" w:hanging="636" w:hangingChars="300"/>
              <w:jc w:val="center"/>
              <w:rPr>
                <w:sz w:val="21"/>
              </w:rPr>
            </w:pPr>
          </w:p>
        </w:tc>
      </w:tr>
      <w:tr w14:paraId="032FC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60" w:type="dxa"/>
            <w:vAlign w:val="center"/>
          </w:tcPr>
          <w:p w14:paraId="5712D393">
            <w:pPr>
              <w:pStyle w:val="360"/>
              <w:spacing w:line="400" w:lineRule="exact"/>
              <w:ind w:left="636" w:hanging="636" w:hangingChars="300"/>
              <w:jc w:val="center"/>
              <w:rPr>
                <w:sz w:val="21"/>
              </w:rPr>
            </w:pPr>
            <w:r>
              <w:rPr>
                <w:sz w:val="21"/>
              </w:rPr>
              <w:t>5</w:t>
            </w:r>
          </w:p>
        </w:tc>
        <w:tc>
          <w:tcPr>
            <w:tcW w:w="3686" w:type="dxa"/>
          </w:tcPr>
          <w:p w14:paraId="3DED9EF5">
            <w:pPr>
              <w:pStyle w:val="360"/>
              <w:spacing w:line="400" w:lineRule="exact"/>
              <w:ind w:left="636" w:hanging="636" w:hangingChars="300"/>
              <w:jc w:val="center"/>
              <w:rPr>
                <w:sz w:val="21"/>
              </w:rPr>
            </w:pPr>
            <w:r>
              <w:rPr>
                <w:sz w:val="21"/>
              </w:rPr>
              <w:t>验收</w:t>
            </w:r>
          </w:p>
        </w:tc>
        <w:tc>
          <w:tcPr>
            <w:tcW w:w="2651" w:type="dxa"/>
          </w:tcPr>
          <w:p w14:paraId="5DBDF469">
            <w:pPr>
              <w:pStyle w:val="360"/>
              <w:spacing w:line="400" w:lineRule="exact"/>
              <w:ind w:left="636" w:hanging="636" w:hangingChars="300"/>
              <w:jc w:val="center"/>
              <w:rPr>
                <w:rFonts w:hint="eastAsia" w:eastAsia="宋体"/>
                <w:sz w:val="21"/>
                <w:lang w:eastAsia="zh-CN"/>
              </w:rPr>
            </w:pPr>
            <w:r>
              <w:rPr>
                <w:rFonts w:hint="eastAsia"/>
                <w:sz w:val="21"/>
              </w:rPr>
              <w:t>20</w:t>
            </w:r>
            <w:r>
              <w:rPr>
                <w:sz w:val="21"/>
              </w:rPr>
              <w:t>2</w:t>
            </w:r>
            <w:r>
              <w:rPr>
                <w:rFonts w:hint="eastAsia"/>
                <w:sz w:val="21"/>
              </w:rPr>
              <w:t>5</w:t>
            </w:r>
            <w:r>
              <w:rPr>
                <w:rFonts w:hint="eastAsia"/>
                <w:sz w:val="21"/>
                <w:lang w:eastAsia="zh-CN"/>
              </w:rPr>
              <w:t>年</w:t>
            </w:r>
            <w:r>
              <w:rPr>
                <w:rFonts w:hint="eastAsia"/>
                <w:sz w:val="21"/>
              </w:rPr>
              <w:t>3</w:t>
            </w:r>
            <w:r>
              <w:rPr>
                <w:rFonts w:hint="eastAsia"/>
                <w:sz w:val="21"/>
                <w:lang w:eastAsia="zh-CN"/>
              </w:rPr>
              <w:t>月</w:t>
            </w:r>
          </w:p>
        </w:tc>
        <w:tc>
          <w:tcPr>
            <w:tcW w:w="1409" w:type="dxa"/>
          </w:tcPr>
          <w:p w14:paraId="49BA405F">
            <w:pPr>
              <w:pStyle w:val="360"/>
              <w:spacing w:line="400" w:lineRule="exact"/>
              <w:ind w:left="636" w:hanging="636" w:hangingChars="300"/>
              <w:jc w:val="center"/>
              <w:rPr>
                <w:sz w:val="21"/>
              </w:rPr>
            </w:pPr>
            <w:r>
              <w:rPr>
                <w:rFonts w:hint="eastAsia"/>
                <w:sz w:val="21"/>
              </w:rPr>
              <w:t>竣工验收</w:t>
            </w:r>
          </w:p>
        </w:tc>
      </w:tr>
      <w:bookmarkEnd w:id="127"/>
      <w:bookmarkEnd w:id="128"/>
    </w:tbl>
    <w:p w14:paraId="1B7C5F15">
      <w:pPr>
        <w:widowControl/>
        <w:tabs>
          <w:tab w:val="left" w:pos="1140"/>
          <w:tab w:val="left" w:pos="1320"/>
        </w:tabs>
        <w:adjustRightInd w:val="0"/>
        <w:snapToGrid w:val="0"/>
        <w:spacing w:before="120" w:beforeLines="50"/>
        <w:rPr>
          <w:sz w:val="21"/>
          <w:szCs w:val="21"/>
        </w:rPr>
      </w:pPr>
    </w:p>
    <w:p w14:paraId="49BF5CC9">
      <w:pPr>
        <w:widowControl/>
        <w:tabs>
          <w:tab w:val="left" w:pos="1140"/>
          <w:tab w:val="left" w:pos="1320"/>
        </w:tabs>
        <w:adjustRightInd w:val="0"/>
        <w:snapToGrid w:val="0"/>
        <w:spacing w:before="120" w:beforeLines="50"/>
        <w:rPr>
          <w:sz w:val="21"/>
          <w:szCs w:val="21"/>
        </w:rPr>
      </w:pPr>
      <w:r>
        <w:rPr>
          <w:sz w:val="21"/>
          <w:szCs w:val="21"/>
        </w:rPr>
        <w:t>注：本计划仅</w:t>
      </w:r>
      <w:r>
        <w:rPr>
          <w:rFonts w:hint="eastAsia"/>
          <w:sz w:val="21"/>
          <w:szCs w:val="21"/>
        </w:rPr>
        <w:t>为暂定</w:t>
      </w:r>
      <w:r>
        <w:rPr>
          <w:sz w:val="21"/>
          <w:szCs w:val="21"/>
        </w:rPr>
        <w:t>，招标人在项目实施过程中有权根据工程进展情况对上述计划进行调整，投标人在投标时</w:t>
      </w:r>
      <w:r>
        <w:rPr>
          <w:rFonts w:hint="eastAsia"/>
          <w:sz w:val="21"/>
          <w:szCs w:val="21"/>
        </w:rPr>
        <w:t>须</w:t>
      </w:r>
      <w:r>
        <w:rPr>
          <w:sz w:val="21"/>
          <w:szCs w:val="21"/>
        </w:rPr>
        <w:t>承诺将</w:t>
      </w:r>
      <w:r>
        <w:rPr>
          <w:rFonts w:hint="eastAsia"/>
          <w:sz w:val="21"/>
          <w:szCs w:val="21"/>
        </w:rPr>
        <w:t>无偿</w:t>
      </w:r>
      <w:r>
        <w:rPr>
          <w:sz w:val="21"/>
          <w:szCs w:val="21"/>
        </w:rPr>
        <w:t>服从上述工程计划的调整</w:t>
      </w:r>
      <w:r>
        <w:rPr>
          <w:rFonts w:hint="eastAsia"/>
          <w:sz w:val="21"/>
          <w:szCs w:val="21"/>
        </w:rPr>
        <w:t>，并不得申请任何费用补偿</w:t>
      </w:r>
      <w:r>
        <w:rPr>
          <w:sz w:val="21"/>
          <w:szCs w:val="21"/>
        </w:rPr>
        <w:t>。</w:t>
      </w:r>
    </w:p>
    <w:p w14:paraId="26D6BAFD">
      <w:pPr>
        <w:ind w:left="0" w:firstLine="0"/>
        <w:rPr>
          <w:sz w:val="21"/>
          <w:szCs w:val="21"/>
          <w:lang w:val="zh-CN"/>
        </w:rPr>
        <w:sectPr>
          <w:pgSz w:w="11906" w:h="16838"/>
          <w:pgMar w:top="1418" w:right="1418" w:bottom="1418" w:left="1418" w:header="851" w:footer="851" w:gutter="0"/>
          <w:cols w:space="720" w:num="1"/>
          <w:docGrid w:linePitch="312" w:charSpace="0"/>
        </w:sectPr>
      </w:pPr>
    </w:p>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14:paraId="75959539">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129" w:name="_Toc291696209"/>
      <w:bookmarkEnd w:id="129"/>
      <w:bookmarkStart w:id="130" w:name="_Toc290230724"/>
      <w:bookmarkEnd w:id="130"/>
      <w:bookmarkStart w:id="131" w:name="_Toc291696588"/>
      <w:bookmarkEnd w:id="131"/>
      <w:bookmarkStart w:id="132" w:name="_Toc290231084"/>
      <w:bookmarkEnd w:id="132"/>
      <w:bookmarkStart w:id="133" w:name="_Toc291696208"/>
      <w:bookmarkEnd w:id="133"/>
      <w:bookmarkStart w:id="134" w:name="_Toc289515144"/>
      <w:bookmarkEnd w:id="134"/>
      <w:bookmarkStart w:id="135" w:name="_Toc289325056"/>
      <w:bookmarkEnd w:id="135"/>
      <w:bookmarkStart w:id="136" w:name="_Toc291675371"/>
      <w:bookmarkEnd w:id="136"/>
      <w:bookmarkStart w:id="137" w:name="_Toc289515143"/>
      <w:bookmarkEnd w:id="137"/>
      <w:bookmarkStart w:id="138" w:name="_Toc290230725"/>
      <w:bookmarkEnd w:id="138"/>
      <w:bookmarkStart w:id="139" w:name="_Toc293647375"/>
      <w:bookmarkEnd w:id="139"/>
      <w:bookmarkStart w:id="140" w:name="_Toc291351549"/>
      <w:bookmarkEnd w:id="140"/>
      <w:bookmarkStart w:id="141" w:name="_Toc290229073"/>
      <w:bookmarkEnd w:id="141"/>
      <w:bookmarkStart w:id="142" w:name="_Toc291192613"/>
      <w:bookmarkEnd w:id="142"/>
      <w:bookmarkStart w:id="143" w:name="_Toc291351550"/>
      <w:bookmarkEnd w:id="143"/>
      <w:bookmarkStart w:id="144" w:name="_Toc290229074"/>
      <w:bookmarkEnd w:id="144"/>
      <w:bookmarkStart w:id="145" w:name="_Toc291675372"/>
      <w:bookmarkEnd w:id="145"/>
      <w:bookmarkStart w:id="146" w:name="_Toc293647376"/>
      <w:bookmarkEnd w:id="146"/>
      <w:bookmarkStart w:id="147" w:name="_Toc291192612"/>
      <w:bookmarkEnd w:id="147"/>
      <w:bookmarkStart w:id="148" w:name="_Toc289890427"/>
      <w:bookmarkEnd w:id="148"/>
      <w:bookmarkStart w:id="149" w:name="_Toc289325055"/>
      <w:bookmarkEnd w:id="149"/>
      <w:bookmarkStart w:id="150" w:name="_Toc289890426"/>
      <w:bookmarkEnd w:id="150"/>
      <w:bookmarkStart w:id="151" w:name="_Toc290231083"/>
      <w:bookmarkEnd w:id="151"/>
      <w:bookmarkStart w:id="152" w:name="_Toc291696589"/>
      <w:bookmarkEnd w:id="152"/>
      <w:bookmarkStart w:id="153" w:name="_Toc231185031"/>
      <w:bookmarkStart w:id="154" w:name="_Toc222157579"/>
      <w:bookmarkStart w:id="155" w:name="_Toc222346890"/>
      <w:bookmarkStart w:id="156" w:name="_Toc222157717"/>
      <w:bookmarkStart w:id="157" w:name="_Toc11406"/>
      <w:bookmarkStart w:id="158" w:name="_Toc222347661"/>
      <w:bookmarkStart w:id="159" w:name="_Toc259981392"/>
      <w:bookmarkStart w:id="160" w:name="_Toc234326091"/>
      <w:bookmarkStart w:id="161" w:name="_Toc234326627"/>
      <w:bookmarkStart w:id="162" w:name="_Toc2685"/>
      <w:bookmarkStart w:id="163" w:name="_Toc222347491"/>
      <w:bookmarkStart w:id="164" w:name="_Toc222347321"/>
      <w:bookmarkStart w:id="165" w:name="_Toc234326359"/>
      <w:bookmarkStart w:id="166" w:name="_Toc237702728"/>
      <w:bookmarkStart w:id="167" w:name="_Toc234325823"/>
      <w:bookmarkStart w:id="168" w:name="_Toc222347151"/>
      <w:bookmarkStart w:id="169" w:name="_Toc215388189"/>
      <w:bookmarkStart w:id="170" w:name="_Toc222158680"/>
      <w:r>
        <w:rPr>
          <w:rFonts w:ascii="Times New Roman" w:hAnsi="Times New Roman" w:eastAsia="宋体"/>
          <w:b/>
          <w:bCs/>
          <w:sz w:val="21"/>
          <w:szCs w:val="21"/>
        </w:rPr>
        <w:t>招标范围</w:t>
      </w:r>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Start w:id="171" w:name="_Toc131867797"/>
      <w:bookmarkStart w:id="172" w:name="_Toc128138009"/>
      <w:bookmarkStart w:id="173" w:name="_Toc128223195"/>
      <w:bookmarkStart w:id="174" w:name="_Toc215388190"/>
      <w:bookmarkStart w:id="175" w:name="_Toc128122842"/>
      <w:bookmarkStart w:id="176" w:name="_Toc128137331"/>
      <w:bookmarkStart w:id="177" w:name="_Toc128139521"/>
      <w:bookmarkStart w:id="178" w:name="_Toc128139027"/>
      <w:bookmarkStart w:id="179" w:name="_Toc128141099"/>
      <w:bookmarkStart w:id="180" w:name="_Toc128138255"/>
      <w:bookmarkStart w:id="181" w:name="_Toc128139929"/>
      <w:bookmarkStart w:id="182" w:name="_Toc128138625"/>
      <w:bookmarkStart w:id="183" w:name="_Toc128139240"/>
      <w:bookmarkStart w:id="184" w:name="_Toc128140496"/>
      <w:bookmarkStart w:id="185" w:name="_Toc128140921"/>
      <w:bookmarkStart w:id="186" w:name="_Toc128141398"/>
      <w:bookmarkStart w:id="187" w:name="_Toc128120872"/>
      <w:bookmarkStart w:id="188" w:name="_Toc130291469"/>
      <w:bookmarkStart w:id="189" w:name="_Toc127815692"/>
      <w:bookmarkStart w:id="190" w:name="_Toc128137747"/>
    </w:p>
    <w:p w14:paraId="4EE3075D">
      <w:pPr>
        <w:pStyle w:val="4"/>
        <w:rPr>
          <w:sz w:val="21"/>
          <w:szCs w:val="21"/>
        </w:rPr>
      </w:pPr>
      <w:bookmarkStart w:id="191" w:name="_Toc31939"/>
      <w:bookmarkStart w:id="192" w:name="_Toc3951"/>
      <w:r>
        <w:rPr>
          <w:rFonts w:hint="eastAsia"/>
          <w:sz w:val="21"/>
          <w:szCs w:val="21"/>
        </w:rPr>
        <w:t>招标范围</w:t>
      </w:r>
      <w:bookmarkEnd w:id="191"/>
      <w:bookmarkEnd w:id="192"/>
    </w:p>
    <w:p w14:paraId="7B2BEC79">
      <w:pPr>
        <w:pStyle w:val="5"/>
        <w:numPr>
          <w:ilvl w:val="2"/>
          <w:numId w:val="0"/>
        </w:numPr>
        <w:ind w:left="227" w:firstLine="420" w:firstLineChars="200"/>
        <w:rPr>
          <w:color w:val="auto"/>
          <w:szCs w:val="21"/>
        </w:rPr>
      </w:pPr>
      <w:r>
        <w:rPr>
          <w:rFonts w:hint="eastAsia"/>
          <w:color w:val="auto"/>
          <w:szCs w:val="21"/>
        </w:rPr>
        <w:t>本项目</w:t>
      </w:r>
      <w:r>
        <w:rPr>
          <w:color w:val="auto"/>
          <w:szCs w:val="21"/>
        </w:rPr>
        <w:t>招标范围包括</w:t>
      </w:r>
      <w:r>
        <w:rPr>
          <w:rFonts w:hint="eastAsia"/>
          <w:color w:val="auto"/>
          <w:szCs w:val="21"/>
        </w:rPr>
        <w:t>：</w:t>
      </w:r>
      <w:r>
        <w:rPr>
          <w:rFonts w:hint="eastAsia"/>
          <w:color w:val="auto"/>
          <w:szCs w:val="21"/>
          <w:lang w:val="en-US"/>
        </w:rPr>
        <w:t>云计算平台及相关硬件</w:t>
      </w:r>
      <w:r>
        <w:rPr>
          <w:rFonts w:ascii="宋体" w:hAnsi="宋体"/>
          <w:color w:val="auto"/>
          <w:szCs w:val="21"/>
        </w:rPr>
        <w:t>设备、</w:t>
      </w:r>
      <w:r>
        <w:rPr>
          <w:rFonts w:hint="eastAsia" w:ascii="宋体" w:hAnsi="宋体"/>
          <w:color w:val="auto"/>
          <w:szCs w:val="21"/>
        </w:rPr>
        <w:t>配套</w:t>
      </w:r>
      <w:r>
        <w:rPr>
          <w:rFonts w:ascii="宋体" w:hAnsi="宋体"/>
          <w:color w:val="auto"/>
          <w:szCs w:val="21"/>
        </w:rPr>
        <w:t>材料、</w:t>
      </w:r>
      <w:r>
        <w:rPr>
          <w:rFonts w:hint="eastAsia" w:ascii="宋体" w:hAnsi="宋体"/>
          <w:color w:val="auto"/>
          <w:szCs w:val="21"/>
        </w:rPr>
        <w:t>随机附件</w:t>
      </w:r>
      <w:r>
        <w:rPr>
          <w:rFonts w:ascii="宋体" w:hAnsi="宋体"/>
          <w:color w:val="auto"/>
          <w:szCs w:val="21"/>
        </w:rPr>
        <w:t>以及所需的</w:t>
      </w:r>
      <w:r>
        <w:rPr>
          <w:rFonts w:hint="eastAsia" w:ascii="宋体" w:hAnsi="宋体"/>
          <w:color w:val="auto"/>
          <w:szCs w:val="21"/>
        </w:rPr>
        <w:t>其他</w:t>
      </w:r>
      <w:r>
        <w:rPr>
          <w:rFonts w:ascii="宋体" w:hAnsi="宋体"/>
          <w:color w:val="auto"/>
          <w:szCs w:val="21"/>
        </w:rPr>
        <w:t>材料的</w:t>
      </w:r>
      <w:r>
        <w:rPr>
          <w:color w:val="auto"/>
          <w:szCs w:val="21"/>
        </w:rPr>
        <w:t>供货及集成服务</w:t>
      </w:r>
      <w:r>
        <w:rPr>
          <w:rFonts w:hint="eastAsia"/>
          <w:color w:val="auto"/>
          <w:szCs w:val="21"/>
        </w:rPr>
        <w:t>。</w:t>
      </w:r>
    </w:p>
    <w:p w14:paraId="2D10F588">
      <w:pPr>
        <w:pStyle w:val="4"/>
        <w:rPr>
          <w:sz w:val="21"/>
          <w:szCs w:val="21"/>
        </w:rPr>
      </w:pPr>
      <w:bookmarkStart w:id="193" w:name="_Toc440532689"/>
      <w:bookmarkEnd w:id="193"/>
      <w:bookmarkStart w:id="194" w:name="_Toc441660274"/>
      <w:bookmarkEnd w:id="194"/>
      <w:bookmarkStart w:id="195" w:name="_Toc440896330"/>
      <w:bookmarkEnd w:id="195"/>
      <w:bookmarkStart w:id="196" w:name="_Toc440532688"/>
      <w:bookmarkEnd w:id="196"/>
      <w:bookmarkStart w:id="197" w:name="_Toc441660273"/>
      <w:bookmarkEnd w:id="197"/>
      <w:bookmarkStart w:id="198" w:name="_Toc440896331"/>
      <w:bookmarkEnd w:id="198"/>
      <w:bookmarkStart w:id="199" w:name="_Toc1905"/>
      <w:bookmarkStart w:id="200" w:name="_Toc17774"/>
      <w:r>
        <w:rPr>
          <w:rFonts w:hint="eastAsia"/>
          <w:sz w:val="21"/>
          <w:szCs w:val="21"/>
        </w:rPr>
        <w:t>其他要求</w:t>
      </w:r>
      <w:bookmarkEnd w:id="199"/>
      <w:bookmarkEnd w:id="200"/>
    </w:p>
    <w:p w14:paraId="7B69C9E7">
      <w:pPr>
        <w:pStyle w:val="5"/>
        <w:rPr>
          <w:color w:val="auto"/>
          <w:szCs w:val="21"/>
        </w:rPr>
      </w:pPr>
      <w:r>
        <w:rPr>
          <w:color w:val="auto"/>
          <w:szCs w:val="21"/>
        </w:rPr>
        <w:t>投标人必须提供（</w:t>
      </w:r>
      <w:r>
        <w:rPr>
          <w:rFonts w:hint="eastAsia"/>
          <w:color w:val="auto"/>
          <w:szCs w:val="21"/>
        </w:rPr>
        <w:t>但</w:t>
      </w:r>
      <w:r>
        <w:rPr>
          <w:color w:val="auto"/>
          <w:szCs w:val="21"/>
        </w:rPr>
        <w:t>不限于）</w:t>
      </w:r>
      <w:r>
        <w:rPr>
          <w:rFonts w:hint="eastAsia"/>
          <w:color w:val="auto"/>
          <w:szCs w:val="21"/>
        </w:rPr>
        <w:t>产品制造、出厂检验、保险、包装、发货、运输、交货、试运行、质量保证期内的系统缺陷的纠正和维护以及</w:t>
      </w:r>
      <w:r>
        <w:rPr>
          <w:color w:val="auto"/>
          <w:szCs w:val="21"/>
        </w:rPr>
        <w:t>确保上述系统正常运</w:t>
      </w:r>
      <w:r>
        <w:rPr>
          <w:rFonts w:hint="eastAsia"/>
          <w:color w:val="auto"/>
          <w:szCs w:val="21"/>
          <w:lang w:val="en-US"/>
        </w:rPr>
        <w:t>行</w:t>
      </w:r>
      <w:r>
        <w:rPr>
          <w:color w:val="auto"/>
          <w:szCs w:val="21"/>
        </w:rPr>
        <w:t>所需的附件、材料、</w:t>
      </w:r>
      <w:r>
        <w:rPr>
          <w:rFonts w:hint="eastAsia"/>
          <w:color w:val="auto"/>
          <w:szCs w:val="21"/>
        </w:rPr>
        <w:t>人员培训</w:t>
      </w:r>
      <w:r>
        <w:rPr>
          <w:color w:val="auto"/>
          <w:szCs w:val="21"/>
        </w:rPr>
        <w:t>等</w:t>
      </w:r>
      <w:r>
        <w:rPr>
          <w:rFonts w:hint="eastAsia"/>
          <w:color w:val="auto"/>
          <w:szCs w:val="21"/>
        </w:rPr>
        <w:t>。</w:t>
      </w:r>
    </w:p>
    <w:p w14:paraId="2CA1AFE2">
      <w:pPr>
        <w:pStyle w:val="5"/>
        <w:rPr>
          <w:color w:val="auto"/>
          <w:szCs w:val="21"/>
        </w:rPr>
      </w:pPr>
      <w:r>
        <w:rPr>
          <w:color w:val="auto"/>
          <w:szCs w:val="21"/>
        </w:rPr>
        <w:t>投标人须供应成熟可靠</w:t>
      </w:r>
      <w:r>
        <w:rPr>
          <w:rFonts w:hint="eastAsia"/>
          <w:color w:val="auto"/>
          <w:szCs w:val="21"/>
        </w:rPr>
        <w:t>的</w:t>
      </w:r>
      <w:r>
        <w:rPr>
          <w:color w:val="auto"/>
          <w:szCs w:val="21"/>
        </w:rPr>
        <w:t>、技术先进</w:t>
      </w:r>
      <w:r>
        <w:rPr>
          <w:rFonts w:hint="eastAsia"/>
          <w:color w:val="auto"/>
          <w:szCs w:val="21"/>
        </w:rPr>
        <w:t>的</w:t>
      </w:r>
      <w:r>
        <w:rPr>
          <w:color w:val="auto"/>
          <w:szCs w:val="21"/>
        </w:rPr>
        <w:t>、经过验证的、符合本招标文件规定</w:t>
      </w:r>
      <w:r>
        <w:rPr>
          <w:rFonts w:hint="eastAsia"/>
          <w:color w:val="auto"/>
          <w:szCs w:val="21"/>
        </w:rPr>
        <w:t>的</w:t>
      </w:r>
      <w:r>
        <w:rPr>
          <w:color w:val="auto"/>
          <w:szCs w:val="21"/>
        </w:rPr>
        <w:t>系统设备</w:t>
      </w:r>
      <w:r>
        <w:rPr>
          <w:rFonts w:hint="eastAsia"/>
          <w:color w:val="auto"/>
          <w:szCs w:val="21"/>
        </w:rPr>
        <w:t>，满足</w:t>
      </w:r>
      <w:r>
        <w:rPr>
          <w:color w:val="auto"/>
          <w:szCs w:val="21"/>
        </w:rPr>
        <w:t>安全性、可用性、可靠性和可维护性</w:t>
      </w:r>
      <w:r>
        <w:rPr>
          <w:rFonts w:hint="eastAsia"/>
          <w:color w:val="auto"/>
          <w:szCs w:val="21"/>
        </w:rPr>
        <w:t>等</w:t>
      </w:r>
      <w:r>
        <w:rPr>
          <w:color w:val="auto"/>
          <w:szCs w:val="21"/>
        </w:rPr>
        <w:t>要求。</w:t>
      </w:r>
      <w:r>
        <w:rPr>
          <w:rFonts w:hint="eastAsia"/>
          <w:color w:val="auto"/>
          <w:szCs w:val="21"/>
        </w:rPr>
        <w:t>计算管理节点服务器、存储管理服务器、备份管理服务器、业务交换机、存储交换机及管理交换机等设备的</w:t>
      </w:r>
      <w:r>
        <w:rPr>
          <w:rFonts w:hint="eastAsia"/>
          <w:color w:val="auto"/>
          <w:szCs w:val="21"/>
          <w:lang w:val="en-US"/>
        </w:rPr>
        <w:t>生产</w:t>
      </w:r>
      <w:r>
        <w:rPr>
          <w:rFonts w:hint="eastAsia"/>
          <w:color w:val="auto"/>
          <w:szCs w:val="21"/>
        </w:rPr>
        <w:t>日期应不早于2024年1月1日。</w:t>
      </w:r>
    </w:p>
    <w:p w14:paraId="5F2EC295">
      <w:pPr>
        <w:pStyle w:val="5"/>
        <w:rPr>
          <w:color w:val="auto"/>
          <w:szCs w:val="21"/>
        </w:rPr>
      </w:pPr>
      <w:r>
        <w:rPr>
          <w:color w:val="auto"/>
          <w:szCs w:val="21"/>
        </w:rPr>
        <w:t>投标人须按本招标文件内各章节</w:t>
      </w:r>
      <w:r>
        <w:rPr>
          <w:rFonts w:hint="eastAsia"/>
          <w:color w:val="auto"/>
          <w:szCs w:val="21"/>
        </w:rPr>
        <w:t>的</w:t>
      </w:r>
      <w:r>
        <w:rPr>
          <w:color w:val="auto"/>
          <w:szCs w:val="21"/>
        </w:rPr>
        <w:t>要求提供相关文件。投标人应以列表</w:t>
      </w:r>
      <w:r>
        <w:rPr>
          <w:rFonts w:hint="eastAsia"/>
          <w:color w:val="auto"/>
          <w:szCs w:val="21"/>
        </w:rPr>
        <w:t>形式提供</w:t>
      </w:r>
      <w:r>
        <w:rPr>
          <w:color w:val="auto"/>
          <w:szCs w:val="21"/>
        </w:rPr>
        <w:t>交付的文件</w:t>
      </w:r>
      <w:r>
        <w:rPr>
          <w:rFonts w:hint="eastAsia"/>
          <w:color w:val="auto"/>
          <w:szCs w:val="21"/>
        </w:rPr>
        <w:t>目录，</w:t>
      </w:r>
      <w:r>
        <w:rPr>
          <w:color w:val="auto"/>
          <w:szCs w:val="21"/>
        </w:rPr>
        <w:t>系统和设备的详细技术手册也须包括在内。</w:t>
      </w:r>
    </w:p>
    <w:p w14:paraId="0D671E55">
      <w:pPr>
        <w:pStyle w:val="5"/>
        <w:rPr>
          <w:color w:val="auto"/>
          <w:szCs w:val="21"/>
        </w:rPr>
      </w:pPr>
      <w:r>
        <w:rPr>
          <w:color w:val="auto"/>
          <w:szCs w:val="21"/>
        </w:rPr>
        <w:t>投标人须为本合同内提供的设备向招标人提供足够的培训班、培训手册、运营及维护手册、维护</w:t>
      </w:r>
      <w:r>
        <w:rPr>
          <w:rFonts w:hint="eastAsia"/>
          <w:color w:val="auto"/>
          <w:szCs w:val="21"/>
        </w:rPr>
        <w:t>器具</w:t>
      </w:r>
      <w:r>
        <w:rPr>
          <w:color w:val="auto"/>
          <w:szCs w:val="21"/>
        </w:rPr>
        <w:t>等，使招标人员工具备足够知识</w:t>
      </w:r>
      <w:r>
        <w:rPr>
          <w:rFonts w:hint="eastAsia"/>
          <w:color w:val="auto"/>
          <w:szCs w:val="21"/>
        </w:rPr>
        <w:t>和条件</w:t>
      </w:r>
      <w:r>
        <w:rPr>
          <w:color w:val="auto"/>
          <w:szCs w:val="21"/>
        </w:rPr>
        <w:t>进行验收、运营、维护</w:t>
      </w:r>
      <w:r>
        <w:rPr>
          <w:rFonts w:hint="eastAsia"/>
          <w:color w:val="auto"/>
          <w:szCs w:val="21"/>
        </w:rPr>
        <w:t>以及故障处理。</w:t>
      </w:r>
    </w:p>
    <w:p w14:paraId="45F5527A">
      <w:pPr>
        <w:pStyle w:val="5"/>
        <w:rPr>
          <w:color w:val="auto"/>
          <w:szCs w:val="21"/>
        </w:rPr>
      </w:pPr>
      <w:r>
        <w:rPr>
          <w:color w:val="auto"/>
          <w:szCs w:val="21"/>
        </w:rPr>
        <w:t>本招标文件仅提出</w:t>
      </w:r>
      <w:r>
        <w:rPr>
          <w:rFonts w:hint="eastAsia"/>
          <w:color w:val="auto"/>
          <w:szCs w:val="21"/>
        </w:rPr>
        <w:t>本</w:t>
      </w:r>
      <w:r>
        <w:rPr>
          <w:color w:val="auto"/>
          <w:szCs w:val="21"/>
        </w:rPr>
        <w:t>系统的主要要求，不应理解成完整的详细要求，投标人应对本</w:t>
      </w:r>
      <w:r>
        <w:rPr>
          <w:rFonts w:hint="eastAsia"/>
          <w:color w:val="auto"/>
          <w:szCs w:val="21"/>
        </w:rPr>
        <w:t>招标文件</w:t>
      </w:r>
      <w:r>
        <w:rPr>
          <w:color w:val="auto"/>
          <w:szCs w:val="21"/>
        </w:rPr>
        <w:t>进行完善和细化，并负责向招标人提供技术成熟的、质量上乘的设备和材料</w:t>
      </w:r>
      <w:r>
        <w:rPr>
          <w:rFonts w:hint="eastAsia"/>
          <w:color w:val="auto"/>
          <w:szCs w:val="21"/>
        </w:rPr>
        <w:t>，</w:t>
      </w:r>
      <w:r>
        <w:rPr>
          <w:color w:val="auto"/>
          <w:szCs w:val="21"/>
        </w:rPr>
        <w:t>全新的、使用最新技术生产的、经试验合格的、完整的</w:t>
      </w:r>
      <w:r>
        <w:rPr>
          <w:rFonts w:hint="eastAsia"/>
          <w:color w:val="auto"/>
          <w:szCs w:val="21"/>
        </w:rPr>
        <w:t>系统</w:t>
      </w:r>
      <w:r>
        <w:rPr>
          <w:color w:val="auto"/>
          <w:szCs w:val="21"/>
        </w:rPr>
        <w:t>设备，并保证符合本招标文件的要求。</w:t>
      </w:r>
    </w:p>
    <w:p w14:paraId="3F368351">
      <w:pPr>
        <w:pStyle w:val="5"/>
        <w:rPr>
          <w:color w:val="auto"/>
          <w:szCs w:val="21"/>
        </w:rPr>
      </w:pPr>
      <w:r>
        <w:rPr>
          <w:color w:val="auto"/>
          <w:szCs w:val="21"/>
        </w:rPr>
        <w:t>投标人提供的服务应与工程进度的要求相一致。投标人在中标后，应承担与其它</w:t>
      </w:r>
      <w:r>
        <w:rPr>
          <w:rFonts w:hint="eastAsia"/>
          <w:color w:val="auto"/>
          <w:szCs w:val="21"/>
        </w:rPr>
        <w:t>标段中标方</w:t>
      </w:r>
      <w:r>
        <w:rPr>
          <w:color w:val="auto"/>
          <w:szCs w:val="21"/>
        </w:rPr>
        <w:t>的技术协调，并对工程作适当安排。所有安排必须取得招标人的书面同意。如果发生争议，应听从招标人裁决，各方都应遵守，并不得籍此要求增加费用或延长工期。投标人应承担全部义务和责任，以完成招标人所有的安排和指示的工作。</w:t>
      </w:r>
    </w:p>
    <w:p w14:paraId="11F26CB5">
      <w:pPr>
        <w:pStyle w:val="5"/>
        <w:rPr>
          <w:color w:val="auto"/>
          <w:szCs w:val="21"/>
        </w:rPr>
      </w:pPr>
      <w:r>
        <w:rPr>
          <w:color w:val="auto"/>
          <w:szCs w:val="21"/>
        </w:rPr>
        <w:t>投标人必须对所提供的机械、电子、电气、仪器仪表、计算机、软件和工艺等方面的一切专利费和执照费承担责任，并负责保护招标人的利益不受任何损害。一切由于文字、商标和技术专利侵权引起的法律裁决、诉讼和费用均与招标人无关。</w:t>
      </w:r>
    </w:p>
    <w:p w14:paraId="2C5FEBC7">
      <w:pPr>
        <w:pStyle w:val="5"/>
        <w:rPr>
          <w:color w:val="auto"/>
          <w:szCs w:val="21"/>
        </w:rPr>
      </w:pPr>
      <w:r>
        <w:rPr>
          <w:color w:val="auto"/>
          <w:szCs w:val="21"/>
        </w:rPr>
        <w:t>投标人须提交所有本</w:t>
      </w:r>
      <w:r>
        <w:rPr>
          <w:rFonts w:hint="eastAsia"/>
          <w:color w:val="auto"/>
          <w:szCs w:val="21"/>
        </w:rPr>
        <w:t>项目</w:t>
      </w:r>
      <w:r>
        <w:rPr>
          <w:color w:val="auto"/>
          <w:szCs w:val="21"/>
        </w:rPr>
        <w:t>范围内</w:t>
      </w:r>
      <w:r>
        <w:rPr>
          <w:rFonts w:hint="eastAsia"/>
          <w:color w:val="auto"/>
          <w:szCs w:val="21"/>
        </w:rPr>
        <w:t>涉及</w:t>
      </w:r>
      <w:r>
        <w:rPr>
          <w:color w:val="auto"/>
          <w:szCs w:val="21"/>
        </w:rPr>
        <w:t>的</w:t>
      </w:r>
      <w:r>
        <w:rPr>
          <w:rFonts w:hint="eastAsia"/>
          <w:color w:val="auto"/>
          <w:szCs w:val="21"/>
        </w:rPr>
        <w:t>所有</w:t>
      </w:r>
      <w:r>
        <w:rPr>
          <w:color w:val="auto"/>
          <w:szCs w:val="21"/>
        </w:rPr>
        <w:t>软件的许可证（License）</w:t>
      </w:r>
      <w:r>
        <w:rPr>
          <w:rFonts w:hint="eastAsia"/>
          <w:color w:val="auto"/>
          <w:szCs w:val="21"/>
        </w:rPr>
        <w:t>，费用包含在总价中。</w:t>
      </w:r>
      <w:r>
        <w:rPr>
          <w:color w:val="auto"/>
          <w:szCs w:val="21"/>
        </w:rPr>
        <w:t>许可证应允许招标人使用、修改及开发有关软件。投标人提供</w:t>
      </w:r>
      <w:r>
        <w:rPr>
          <w:rFonts w:hint="eastAsia"/>
          <w:color w:val="auto"/>
          <w:szCs w:val="21"/>
        </w:rPr>
        <w:t>的</w:t>
      </w:r>
      <w:r>
        <w:rPr>
          <w:color w:val="auto"/>
          <w:szCs w:val="21"/>
        </w:rPr>
        <w:t>设备及软件的知识产权拥有者应同意二次开发，投标人</w:t>
      </w:r>
      <w:r>
        <w:rPr>
          <w:rFonts w:hint="eastAsia"/>
          <w:color w:val="auto"/>
          <w:szCs w:val="21"/>
        </w:rPr>
        <w:t>应取得</w:t>
      </w:r>
      <w:r>
        <w:rPr>
          <w:color w:val="auto"/>
          <w:szCs w:val="21"/>
        </w:rPr>
        <w:t>在其设备及软件上</w:t>
      </w:r>
      <w:r>
        <w:rPr>
          <w:rFonts w:hint="eastAsia"/>
          <w:color w:val="auto"/>
          <w:szCs w:val="21"/>
        </w:rPr>
        <w:t>进行二次开发的授权，并</w:t>
      </w:r>
      <w:r>
        <w:rPr>
          <w:color w:val="auto"/>
          <w:szCs w:val="21"/>
        </w:rPr>
        <w:t>完成二次开发</w:t>
      </w:r>
      <w:r>
        <w:rPr>
          <w:rFonts w:hint="eastAsia"/>
          <w:color w:val="auto"/>
          <w:szCs w:val="21"/>
        </w:rPr>
        <w:t>工作</w:t>
      </w:r>
      <w:r>
        <w:rPr>
          <w:color w:val="auto"/>
          <w:szCs w:val="21"/>
        </w:rPr>
        <w:t>，若发生知识产权纠纷由投标人承担法律责任。</w:t>
      </w:r>
    </w:p>
    <w:p w14:paraId="23F61343">
      <w:pPr>
        <w:pStyle w:val="5"/>
        <w:rPr>
          <w:color w:val="auto"/>
          <w:szCs w:val="21"/>
        </w:rPr>
      </w:pPr>
      <w:r>
        <w:rPr>
          <w:rFonts w:hint="eastAsia"/>
          <w:color w:val="auto"/>
          <w:szCs w:val="21"/>
          <w:lang w:eastAsia="zh-CN"/>
        </w:rPr>
        <w:t>管理云平台</w:t>
      </w:r>
      <w:r>
        <w:rPr>
          <w:rFonts w:hint="eastAsia"/>
          <w:color w:val="auto"/>
          <w:szCs w:val="21"/>
        </w:rPr>
        <w:t>系统：须同时提供以下材料：（1）</w:t>
      </w:r>
      <w:r>
        <w:rPr>
          <w:rFonts w:hint="eastAsia"/>
          <w:color w:val="auto"/>
          <w:szCs w:val="21"/>
          <w:lang w:eastAsia="zh-CN"/>
        </w:rPr>
        <w:t>管理云平台</w:t>
      </w:r>
      <w:r>
        <w:rPr>
          <w:rFonts w:hint="eastAsia"/>
          <w:color w:val="auto"/>
          <w:szCs w:val="21"/>
        </w:rPr>
        <w:t>软件、数据库管理软件的厂家授权原件；（2）计算管理节点服务器、存储管理服务器、备份管理服务器、业务交换机、存储交换机及管理交换机的厂家供货授权原件或者供销关系证明（如投标人为厂家，则提供制造商资格声明原件代替）；（3）</w:t>
      </w:r>
      <w:r>
        <w:rPr>
          <w:rFonts w:hint="eastAsia"/>
          <w:color w:val="auto"/>
          <w:szCs w:val="21"/>
          <w:lang w:eastAsia="zh-CN"/>
        </w:rPr>
        <w:t>管理云平台</w:t>
      </w:r>
      <w:r>
        <w:rPr>
          <w:rFonts w:hint="eastAsia"/>
          <w:color w:val="auto"/>
          <w:szCs w:val="21"/>
        </w:rPr>
        <w:t>系统厂家服务授权原件。</w:t>
      </w:r>
    </w:p>
    <w:p w14:paraId="2813DE34">
      <w:pPr>
        <w:pStyle w:val="5"/>
        <w:rPr>
          <w:color w:val="auto"/>
          <w:szCs w:val="21"/>
        </w:rPr>
      </w:pPr>
      <w:r>
        <w:rPr>
          <w:color w:val="auto"/>
          <w:szCs w:val="21"/>
        </w:rPr>
        <w:t>在与</w:t>
      </w:r>
      <w:r>
        <w:rPr>
          <w:rFonts w:hint="eastAsia"/>
          <w:color w:val="auto"/>
          <w:szCs w:val="21"/>
        </w:rPr>
        <w:t>中标方</w:t>
      </w:r>
      <w:r>
        <w:rPr>
          <w:color w:val="auto"/>
          <w:szCs w:val="21"/>
        </w:rPr>
        <w:t>签订合同之前，招标人拥有对设备数量、型号调整的权利。</w:t>
      </w:r>
      <w:r>
        <w:rPr>
          <w:rFonts w:hint="eastAsia"/>
          <w:color w:val="auto"/>
          <w:szCs w:val="21"/>
        </w:rPr>
        <w:t>投标人须书面承诺，</w:t>
      </w:r>
      <w:r>
        <w:rPr>
          <w:color w:val="auto"/>
          <w:szCs w:val="21"/>
        </w:rPr>
        <w:t>在</w:t>
      </w:r>
      <w:r>
        <w:rPr>
          <w:rFonts w:hint="eastAsia"/>
          <w:color w:val="auto"/>
          <w:szCs w:val="21"/>
        </w:rPr>
        <w:t>招标人</w:t>
      </w:r>
      <w:r>
        <w:rPr>
          <w:color w:val="auto"/>
          <w:szCs w:val="21"/>
        </w:rPr>
        <w:t>与</w:t>
      </w:r>
      <w:r>
        <w:rPr>
          <w:rFonts w:hint="eastAsia"/>
          <w:color w:val="auto"/>
          <w:szCs w:val="21"/>
        </w:rPr>
        <w:t>中标方</w:t>
      </w:r>
      <w:r>
        <w:rPr>
          <w:color w:val="auto"/>
          <w:szCs w:val="21"/>
        </w:rPr>
        <w:t>签订合同之后，因</w:t>
      </w:r>
      <w:r>
        <w:rPr>
          <w:rFonts w:hAnsi="宋体"/>
          <w:bCs w:val="0"/>
          <w:color w:val="auto"/>
          <w:szCs w:val="21"/>
        </w:rPr>
        <w:t>工程</w:t>
      </w:r>
      <w:r>
        <w:rPr>
          <w:rFonts w:hint="eastAsia" w:hAnsi="宋体"/>
          <w:bCs w:val="0"/>
          <w:color w:val="auto"/>
          <w:szCs w:val="21"/>
        </w:rPr>
        <w:t>外部条件变化而</w:t>
      </w:r>
      <w:r>
        <w:rPr>
          <w:color w:val="auto"/>
          <w:szCs w:val="21"/>
        </w:rPr>
        <w:t>追加的设备，</w:t>
      </w:r>
      <w:r>
        <w:rPr>
          <w:rFonts w:hint="eastAsia"/>
          <w:color w:val="auto"/>
          <w:szCs w:val="21"/>
        </w:rPr>
        <w:t>中标方</w:t>
      </w:r>
      <w:r>
        <w:rPr>
          <w:color w:val="auto"/>
          <w:szCs w:val="21"/>
        </w:rPr>
        <w:t>应按不高于设备投标单价的价格（如有折扣，按折扣后价格）提供。投标人</w:t>
      </w:r>
      <w:r>
        <w:rPr>
          <w:rFonts w:hint="eastAsia"/>
          <w:color w:val="auto"/>
          <w:szCs w:val="21"/>
        </w:rPr>
        <w:t>须</w:t>
      </w:r>
      <w:r>
        <w:rPr>
          <w:color w:val="auto"/>
          <w:szCs w:val="21"/>
        </w:rPr>
        <w:t>承诺</w:t>
      </w:r>
      <w:r>
        <w:rPr>
          <w:rFonts w:hint="eastAsia"/>
          <w:color w:val="auto"/>
          <w:szCs w:val="21"/>
        </w:rPr>
        <w:t>（承诺函）</w:t>
      </w:r>
      <w:r>
        <w:rPr>
          <w:color w:val="auto"/>
          <w:szCs w:val="21"/>
        </w:rPr>
        <w:t>在质保期满后，继续以不高于投标单价的价格（如有折扣，按折扣后价格）提供</w:t>
      </w:r>
      <w:r>
        <w:rPr>
          <w:rFonts w:hint="eastAsia"/>
          <w:color w:val="auto"/>
          <w:szCs w:val="21"/>
        </w:rPr>
        <w:t>子系统寿命期内</w:t>
      </w:r>
      <w:r>
        <w:rPr>
          <w:color w:val="auto"/>
          <w:szCs w:val="21"/>
        </w:rPr>
        <w:t>的备品备件</w:t>
      </w:r>
      <w:r>
        <w:rPr>
          <w:rFonts w:hint="eastAsia"/>
          <w:color w:val="auto"/>
          <w:szCs w:val="21"/>
        </w:rPr>
        <w:t>，投标人须在投标文件中说明所提供产品的使用寿命期清单</w:t>
      </w:r>
      <w:r>
        <w:rPr>
          <w:color w:val="auto"/>
          <w:szCs w:val="21"/>
        </w:rPr>
        <w:t>。</w:t>
      </w:r>
    </w:p>
    <w:p w14:paraId="14A5778A">
      <w:pPr>
        <w:pStyle w:val="5"/>
        <w:rPr>
          <w:color w:val="auto"/>
          <w:szCs w:val="21"/>
        </w:rPr>
      </w:pPr>
      <w:r>
        <w:rPr>
          <w:color w:val="auto"/>
          <w:szCs w:val="21"/>
        </w:rPr>
        <w:t>在设备制造前，招标人保留在总价范围内对所购的设备数量及型号变动的权利。</w:t>
      </w:r>
    </w:p>
    <w:p w14:paraId="54A73A14">
      <w:pPr>
        <w:pStyle w:val="5"/>
        <w:rPr>
          <w:color w:val="auto"/>
          <w:szCs w:val="21"/>
        </w:rPr>
      </w:pPr>
      <w:r>
        <w:rPr>
          <w:color w:val="auto"/>
          <w:szCs w:val="21"/>
        </w:rPr>
        <w:t>投标人可以另外提出满足招标书要求</w:t>
      </w:r>
      <w:r>
        <w:rPr>
          <w:rFonts w:hint="eastAsia"/>
          <w:color w:val="auto"/>
          <w:szCs w:val="21"/>
        </w:rPr>
        <w:t>、</w:t>
      </w:r>
      <w:r>
        <w:rPr>
          <w:color w:val="auto"/>
          <w:szCs w:val="21"/>
        </w:rPr>
        <w:t>并优于招标书要求的系统方案，并应说明其优点及设计考虑，以便招标人选择。</w:t>
      </w:r>
    </w:p>
    <w:p w14:paraId="7E06B399">
      <w:pPr>
        <w:pStyle w:val="5"/>
        <w:rPr>
          <w:color w:val="auto"/>
          <w:szCs w:val="21"/>
        </w:rPr>
      </w:pPr>
      <w:r>
        <w:rPr>
          <w:rFonts w:hint="eastAsia"/>
          <w:color w:val="auto"/>
          <w:szCs w:val="21"/>
        </w:rPr>
        <w:t>投标人本次投标的所有设备、材料、配件必须有单价报价，且不得低于成本价报价或严重偏离市场价报价。</w:t>
      </w:r>
    </w:p>
    <w:p w14:paraId="233C2CC4">
      <w:pPr>
        <w:pStyle w:val="5"/>
        <w:rPr>
          <w:color w:val="auto"/>
          <w:szCs w:val="21"/>
        </w:rPr>
      </w:pPr>
      <w:r>
        <w:rPr>
          <w:color w:val="auto"/>
          <w:szCs w:val="21"/>
        </w:rPr>
        <w:t>投标人提供的产品技术规</w:t>
      </w:r>
      <w:r>
        <w:rPr>
          <w:rFonts w:hint="eastAsia"/>
          <w:color w:val="auto"/>
          <w:szCs w:val="21"/>
        </w:rPr>
        <w:t>格</w:t>
      </w:r>
      <w:r>
        <w:rPr>
          <w:color w:val="auto"/>
          <w:szCs w:val="21"/>
        </w:rPr>
        <w:t>应与招标书中提出的要求一致。如投标人推荐使用的</w:t>
      </w:r>
      <w:r>
        <w:rPr>
          <w:rFonts w:hint="eastAsia"/>
          <w:color w:val="auto"/>
          <w:szCs w:val="21"/>
        </w:rPr>
        <w:t>产品的</w:t>
      </w:r>
      <w:r>
        <w:rPr>
          <w:color w:val="auto"/>
          <w:szCs w:val="21"/>
        </w:rPr>
        <w:t>规格相当于或</w:t>
      </w:r>
      <w:r>
        <w:rPr>
          <w:rFonts w:hint="eastAsia"/>
          <w:color w:val="auto"/>
          <w:szCs w:val="21"/>
        </w:rPr>
        <w:t>高于</w:t>
      </w:r>
      <w:r>
        <w:rPr>
          <w:color w:val="auto"/>
          <w:szCs w:val="21"/>
        </w:rPr>
        <w:t>招标书中陈述的技术规范</w:t>
      </w:r>
      <w:r>
        <w:rPr>
          <w:rFonts w:hint="eastAsia"/>
          <w:color w:val="auto"/>
          <w:szCs w:val="21"/>
        </w:rPr>
        <w:t>，并且</w:t>
      </w:r>
      <w:r>
        <w:rPr>
          <w:color w:val="auto"/>
          <w:szCs w:val="21"/>
        </w:rPr>
        <w:t>这种产品的性能、可靠性与耐久性</w:t>
      </w:r>
      <w:r>
        <w:rPr>
          <w:rFonts w:hint="eastAsia"/>
          <w:color w:val="auto"/>
          <w:szCs w:val="21"/>
        </w:rPr>
        <w:t>比招标书要求</w:t>
      </w:r>
      <w:r>
        <w:rPr>
          <w:color w:val="auto"/>
          <w:szCs w:val="21"/>
        </w:rPr>
        <w:t>有显著的提高，招标人</w:t>
      </w:r>
      <w:r>
        <w:rPr>
          <w:rFonts w:hint="eastAsia"/>
          <w:color w:val="auto"/>
          <w:szCs w:val="21"/>
        </w:rPr>
        <w:t>根据实际情况考虑是否</w:t>
      </w:r>
      <w:r>
        <w:rPr>
          <w:color w:val="auto"/>
          <w:szCs w:val="21"/>
        </w:rPr>
        <w:t>接受投标人</w:t>
      </w:r>
      <w:r>
        <w:rPr>
          <w:rFonts w:hint="eastAsia"/>
          <w:color w:val="auto"/>
          <w:szCs w:val="21"/>
        </w:rPr>
        <w:t>推荐的产品</w:t>
      </w:r>
      <w:r>
        <w:rPr>
          <w:color w:val="auto"/>
          <w:szCs w:val="21"/>
        </w:rPr>
        <w:t>；</w:t>
      </w:r>
      <w:r>
        <w:rPr>
          <w:rFonts w:hint="eastAsia"/>
          <w:color w:val="auto"/>
          <w:szCs w:val="21"/>
        </w:rPr>
        <w:t>投标人须</w:t>
      </w:r>
      <w:r>
        <w:rPr>
          <w:color w:val="auto"/>
          <w:szCs w:val="21"/>
        </w:rPr>
        <w:t>在投标</w:t>
      </w:r>
      <w:r>
        <w:rPr>
          <w:rFonts w:hint="eastAsia"/>
          <w:color w:val="auto"/>
          <w:szCs w:val="21"/>
        </w:rPr>
        <w:t>文件</w:t>
      </w:r>
      <w:r>
        <w:rPr>
          <w:color w:val="auto"/>
          <w:szCs w:val="21"/>
        </w:rPr>
        <w:t>中就选择该产品的意图，提供详尽的证明文件及解释</w:t>
      </w:r>
      <w:r>
        <w:rPr>
          <w:rFonts w:hint="eastAsia"/>
          <w:color w:val="auto"/>
          <w:szCs w:val="21"/>
        </w:rPr>
        <w:t>。</w:t>
      </w:r>
      <w:r>
        <w:rPr>
          <w:color w:val="auto"/>
          <w:szCs w:val="21"/>
        </w:rPr>
        <w:t>在项目实施过程中（包括但不限于合同谈判），如果招标人认为有必要更换品牌，投标人应无条件接受，投标人不得以任何理由（包括但不限于价格、质量、工期、服务等）提出任何额外要求。</w:t>
      </w:r>
    </w:p>
    <w:p w14:paraId="6724A6E2">
      <w:pPr>
        <w:pStyle w:val="5"/>
        <w:rPr>
          <w:color w:val="auto"/>
          <w:szCs w:val="21"/>
        </w:rPr>
      </w:pPr>
      <w:r>
        <w:rPr>
          <w:rFonts w:hint="eastAsia"/>
          <w:color w:val="auto"/>
          <w:szCs w:val="21"/>
        </w:rPr>
        <w:t>未经招标人允许，投标人不得改变系统设备及附件的型号、品牌，如果擅自改变，招标人有权要求投标人在规定时间内更正。如致使该系统设备的完整性、可靠性受到影响或造成工期延误，由投标人负全责</w:t>
      </w:r>
      <w:r>
        <w:rPr>
          <w:color w:val="auto"/>
          <w:szCs w:val="21"/>
        </w:rPr>
        <w:t>。</w:t>
      </w:r>
    </w:p>
    <w:p w14:paraId="10104F7E">
      <w:pPr>
        <w:pStyle w:val="5"/>
        <w:rPr>
          <w:color w:val="auto"/>
          <w:szCs w:val="21"/>
        </w:rPr>
      </w:pPr>
      <w:r>
        <w:rPr>
          <w:color w:val="auto"/>
          <w:szCs w:val="21"/>
        </w:rPr>
        <w:t>投标人提供的产品（包括但不限于零部件、材料、品牌、生产厂商等）</w:t>
      </w:r>
      <w:r>
        <w:rPr>
          <w:rFonts w:hint="eastAsia"/>
          <w:color w:val="auto"/>
          <w:szCs w:val="21"/>
        </w:rPr>
        <w:t>必须在</w:t>
      </w:r>
      <w:r>
        <w:rPr>
          <w:color w:val="auto"/>
          <w:szCs w:val="21"/>
        </w:rPr>
        <w:t>经过招标人书面确认</w:t>
      </w:r>
      <w:r>
        <w:rPr>
          <w:rFonts w:hint="eastAsia"/>
          <w:color w:val="auto"/>
          <w:szCs w:val="21"/>
        </w:rPr>
        <w:t>（如果招标人认为有必要时）</w:t>
      </w:r>
      <w:r>
        <w:rPr>
          <w:color w:val="auto"/>
          <w:szCs w:val="21"/>
        </w:rPr>
        <w:t>方可</w:t>
      </w:r>
      <w:r>
        <w:rPr>
          <w:rFonts w:hint="eastAsia"/>
          <w:color w:val="auto"/>
          <w:szCs w:val="21"/>
        </w:rPr>
        <w:t>在本项目中</w:t>
      </w:r>
      <w:r>
        <w:rPr>
          <w:color w:val="auto"/>
          <w:szCs w:val="21"/>
        </w:rPr>
        <w:t>使用；招标人</w:t>
      </w:r>
      <w:r>
        <w:rPr>
          <w:rFonts w:hint="eastAsia"/>
          <w:color w:val="auto"/>
          <w:szCs w:val="21"/>
        </w:rPr>
        <w:t>对</w:t>
      </w:r>
      <w:r>
        <w:rPr>
          <w:color w:val="auto"/>
          <w:szCs w:val="21"/>
        </w:rPr>
        <w:t>产品</w:t>
      </w:r>
      <w:r>
        <w:rPr>
          <w:rFonts w:hint="eastAsia"/>
          <w:color w:val="auto"/>
          <w:szCs w:val="21"/>
        </w:rPr>
        <w:t>的</w:t>
      </w:r>
      <w:r>
        <w:rPr>
          <w:color w:val="auto"/>
          <w:szCs w:val="21"/>
        </w:rPr>
        <w:t>确认（包括但不限于零部件、材料、品牌、生产厂商等）并不减轻投标人的任何责任（包括但不限于价格、质量、工期、服务等），投标人必须完全满足本招标文件要求，并对其承担全部责任。</w:t>
      </w:r>
    </w:p>
    <w:p w14:paraId="30BCFB12">
      <w:pPr>
        <w:pStyle w:val="5"/>
        <w:rPr>
          <w:color w:val="auto"/>
          <w:szCs w:val="21"/>
        </w:rPr>
      </w:pPr>
      <w:r>
        <w:rPr>
          <w:color w:val="auto"/>
          <w:szCs w:val="21"/>
        </w:rPr>
        <w:t>招标人有权要求投标人对其提供的产品（包括但不限于零部件、材料等）进行检测和试验，并确保检测和试验结果满足招标文件要求；检测和试验机构必须经过招标人的书面认可。此检测</w:t>
      </w:r>
      <w:r>
        <w:rPr>
          <w:rFonts w:hint="eastAsia"/>
          <w:color w:val="auto"/>
          <w:szCs w:val="21"/>
        </w:rPr>
        <w:t>和</w:t>
      </w:r>
      <w:r>
        <w:rPr>
          <w:color w:val="auto"/>
          <w:szCs w:val="21"/>
        </w:rPr>
        <w:t>试验并不减轻投标人的任何责任（包括但不限于价格、质量、工期、服务等），投标人必须完全满足本招标文件要求，并对其承担全部责任。</w:t>
      </w:r>
    </w:p>
    <w:p w14:paraId="506C1AAB">
      <w:pPr>
        <w:pStyle w:val="5"/>
        <w:rPr>
          <w:color w:val="auto"/>
          <w:szCs w:val="21"/>
        </w:rPr>
      </w:pPr>
      <w:r>
        <w:rPr>
          <w:color w:val="auto"/>
          <w:szCs w:val="21"/>
        </w:rPr>
        <w:t>投标人应对</w:t>
      </w:r>
      <w:r>
        <w:rPr>
          <w:rFonts w:hint="eastAsia"/>
          <w:color w:val="auto"/>
          <w:szCs w:val="21"/>
        </w:rPr>
        <w:t>本</w:t>
      </w:r>
      <w:r>
        <w:rPr>
          <w:color w:val="auto"/>
          <w:szCs w:val="21"/>
        </w:rPr>
        <w:t>系统的完整性负责，由投标人所造成的改变，投标人应支付相应的附加费用或对招标人进行相应的补偿。</w:t>
      </w:r>
    </w:p>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14:paraId="730FA86E">
      <w:pPr>
        <w:rPr>
          <w:sz w:val="21"/>
          <w:szCs w:val="21"/>
          <w:lang w:val="zh-CN"/>
        </w:rPr>
        <w:sectPr>
          <w:pgSz w:w="11906" w:h="16838"/>
          <w:pgMar w:top="1418" w:right="1418" w:bottom="1418" w:left="1418" w:header="851" w:footer="851" w:gutter="0"/>
          <w:cols w:space="720" w:num="1"/>
          <w:docGrid w:linePitch="312" w:charSpace="0"/>
        </w:sectPr>
      </w:pPr>
    </w:p>
    <w:p w14:paraId="73C7A0D2">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01" w:name="_Toc24471"/>
      <w:bookmarkStart w:id="202" w:name="_Toc8639"/>
      <w:bookmarkStart w:id="203" w:name="_Toc259981513"/>
      <w:bookmarkStart w:id="204" w:name="_Toc234326779"/>
      <w:bookmarkStart w:id="205" w:name="_Toc234325795"/>
      <w:bookmarkStart w:id="206" w:name="_Toc234326511"/>
      <w:bookmarkStart w:id="207" w:name="_Toc234326243"/>
      <w:bookmarkStart w:id="208" w:name="_Toc237702881"/>
      <w:bookmarkStart w:id="209" w:name="_Toc296528922"/>
      <w:bookmarkStart w:id="210" w:name="_Toc234325975"/>
      <w:bookmarkStart w:id="211" w:name="_Toc234326360"/>
      <w:bookmarkStart w:id="212" w:name="_Toc222346891"/>
      <w:bookmarkStart w:id="213" w:name="_Toc222347322"/>
      <w:bookmarkStart w:id="214" w:name="_Toc296528739"/>
      <w:bookmarkStart w:id="215" w:name="_Toc222158681"/>
      <w:bookmarkStart w:id="216" w:name="_Toc222157718"/>
      <w:bookmarkStart w:id="217" w:name="_Toc222347662"/>
      <w:bookmarkStart w:id="218" w:name="_Toc259981393"/>
      <w:bookmarkStart w:id="219" w:name="_Toc234326092"/>
      <w:bookmarkStart w:id="220" w:name="_Toc222347492"/>
      <w:bookmarkStart w:id="221" w:name="_Toc234325824"/>
      <w:bookmarkStart w:id="222" w:name="_Toc237702729"/>
      <w:bookmarkStart w:id="223" w:name="_Toc234326628"/>
      <w:bookmarkStart w:id="224" w:name="_Toc222157580"/>
      <w:bookmarkStart w:id="225" w:name="_Toc231185032"/>
      <w:bookmarkStart w:id="226" w:name="_Toc222347152"/>
      <w:bookmarkStart w:id="227" w:name="_Toc234326804"/>
      <w:bookmarkStart w:id="228" w:name="_Toc237702906"/>
      <w:bookmarkStart w:id="229" w:name="_Toc234326536"/>
      <w:bookmarkStart w:id="230" w:name="_Toc290373418"/>
      <w:bookmarkStart w:id="231" w:name="_Toc222816878"/>
      <w:bookmarkStart w:id="232" w:name="_Toc259981533"/>
      <w:bookmarkStart w:id="233" w:name="_Toc231185167"/>
      <w:bookmarkStart w:id="234" w:name="_Toc234325801"/>
      <w:bookmarkStart w:id="235" w:name="_Toc234326268"/>
      <w:bookmarkStart w:id="236" w:name="_Toc234326000"/>
      <w:r>
        <w:rPr>
          <w:rFonts w:hint="eastAsia" w:ascii="Times New Roman" w:hAnsi="Times New Roman" w:eastAsia="宋体"/>
          <w:b/>
          <w:bCs/>
          <w:sz w:val="21"/>
          <w:szCs w:val="21"/>
        </w:rPr>
        <w:t>供货范围</w:t>
      </w:r>
      <w:bookmarkEnd w:id="201"/>
      <w:bookmarkEnd w:id="202"/>
    </w:p>
    <w:bookmarkEnd w:id="203"/>
    <w:bookmarkEnd w:id="204"/>
    <w:bookmarkEnd w:id="205"/>
    <w:bookmarkEnd w:id="206"/>
    <w:bookmarkEnd w:id="207"/>
    <w:bookmarkEnd w:id="208"/>
    <w:bookmarkEnd w:id="209"/>
    <w:bookmarkEnd w:id="210"/>
    <w:p w14:paraId="7EC6D6A4">
      <w:pPr>
        <w:pStyle w:val="4"/>
        <w:rPr>
          <w:sz w:val="21"/>
          <w:szCs w:val="21"/>
        </w:rPr>
      </w:pPr>
      <w:bookmarkStart w:id="237" w:name="_Toc22656"/>
      <w:bookmarkStart w:id="238" w:name="_Toc296528923"/>
      <w:bookmarkStart w:id="239" w:name="_Toc849"/>
      <w:r>
        <w:rPr>
          <w:sz w:val="21"/>
          <w:szCs w:val="21"/>
        </w:rPr>
        <w:t>总体说明</w:t>
      </w:r>
      <w:bookmarkEnd w:id="237"/>
      <w:bookmarkEnd w:id="238"/>
      <w:bookmarkEnd w:id="239"/>
    </w:p>
    <w:p w14:paraId="23231D8A">
      <w:pPr>
        <w:pStyle w:val="5"/>
        <w:rPr>
          <w:color w:val="auto"/>
          <w:szCs w:val="21"/>
        </w:rPr>
      </w:pPr>
      <w:r>
        <w:rPr>
          <w:color w:val="auto"/>
          <w:szCs w:val="21"/>
        </w:rPr>
        <w:t>投标人须根据</w:t>
      </w:r>
      <w:r>
        <w:rPr>
          <w:rFonts w:hint="eastAsia"/>
          <w:color w:val="auto"/>
          <w:szCs w:val="21"/>
        </w:rPr>
        <w:t>本项目</w:t>
      </w:r>
      <w:r>
        <w:rPr>
          <w:color w:val="auto"/>
          <w:szCs w:val="21"/>
        </w:rPr>
        <w:t>的工程范围和工程现场条件，针对</w:t>
      </w:r>
      <w:r>
        <w:rPr>
          <w:rFonts w:hint="eastAsia"/>
          <w:color w:val="auto"/>
          <w:szCs w:val="21"/>
        </w:rPr>
        <w:t>本项目的</w:t>
      </w:r>
      <w:r>
        <w:rPr>
          <w:color w:val="auto"/>
          <w:szCs w:val="21"/>
        </w:rPr>
        <w:t>总体情况，提供满足本招标文件要求范围内的完整的</w:t>
      </w:r>
      <w:r>
        <w:rPr>
          <w:rFonts w:hint="eastAsia"/>
          <w:color w:val="auto"/>
          <w:szCs w:val="21"/>
          <w:lang w:eastAsia="zh-CN"/>
        </w:rPr>
        <w:t>管理云平台</w:t>
      </w:r>
      <w:r>
        <w:rPr>
          <w:rFonts w:hint="eastAsia"/>
          <w:color w:val="auto"/>
          <w:szCs w:val="21"/>
          <w:lang w:val="en-US"/>
        </w:rPr>
        <w:t>及相关</w:t>
      </w:r>
      <w:r>
        <w:rPr>
          <w:color w:val="auto"/>
          <w:szCs w:val="21"/>
        </w:rPr>
        <w:t>设备和技术服务。</w:t>
      </w:r>
    </w:p>
    <w:p w14:paraId="113D6F2B">
      <w:pPr>
        <w:pStyle w:val="5"/>
        <w:rPr>
          <w:color w:val="auto"/>
          <w:szCs w:val="21"/>
        </w:rPr>
      </w:pPr>
      <w:r>
        <w:rPr>
          <w:color w:val="auto"/>
          <w:szCs w:val="21"/>
        </w:rPr>
        <w:t>投标人所提供的系统设备包括系统的硬件、软件（含与各设备配套的系统软件</w:t>
      </w:r>
      <w:r>
        <w:rPr>
          <w:rFonts w:hint="eastAsia"/>
          <w:color w:val="auto"/>
          <w:szCs w:val="21"/>
        </w:rPr>
        <w:t>和工具软件</w:t>
      </w:r>
      <w:r>
        <w:rPr>
          <w:color w:val="auto"/>
          <w:szCs w:val="21"/>
        </w:rPr>
        <w:t>）、接口，以及所需的附件、材料、工具、测试设备等。</w:t>
      </w:r>
    </w:p>
    <w:p w14:paraId="68643A77">
      <w:pPr>
        <w:pStyle w:val="5"/>
        <w:rPr>
          <w:color w:val="auto"/>
          <w:szCs w:val="21"/>
        </w:rPr>
      </w:pPr>
      <w:r>
        <w:rPr>
          <w:rFonts w:hint="eastAsia"/>
          <w:color w:val="auto"/>
          <w:szCs w:val="21"/>
        </w:rPr>
        <w:t>投标人提供系统软件时，应经过一个完整的软件生命周期控制，包括软件的设计、开发或采购、</w:t>
      </w:r>
      <w:r>
        <w:rPr>
          <w:rFonts w:hint="eastAsia"/>
          <w:color w:val="auto"/>
          <w:szCs w:val="21"/>
          <w:lang w:eastAsia="zh-CN"/>
        </w:rPr>
        <w:t>部署</w:t>
      </w:r>
      <w:r>
        <w:rPr>
          <w:rFonts w:hint="eastAsia"/>
          <w:color w:val="auto"/>
          <w:szCs w:val="21"/>
        </w:rPr>
        <w:t>、测试、验收、交付、运行及维护管理。投标人根据招标人审核结果的建议改善软件配置管理机制，以确保向招标人提供软件的良好配置管理。投标人在软件设计或采购软件前，应根据招标人《用户需求书》定义所有系统功能、测试和维护要求。</w:t>
      </w:r>
    </w:p>
    <w:p w14:paraId="66D0726B">
      <w:pPr>
        <w:pStyle w:val="5"/>
        <w:rPr>
          <w:color w:val="auto"/>
          <w:szCs w:val="21"/>
        </w:rPr>
      </w:pPr>
      <w:bookmarkStart w:id="240" w:name="_Toc355941863"/>
      <w:bookmarkStart w:id="241" w:name="_Toc355943274"/>
      <w:r>
        <w:rPr>
          <w:rFonts w:hint="eastAsia"/>
          <w:color w:val="auto"/>
          <w:szCs w:val="21"/>
        </w:rPr>
        <w:t>投标人提供的软件须包含满足本项目需要的完整的软件授权和许可。投标人提供的系统在系统测试、维护和维修需专用软件的，投标人须将专用软件及其使用说明文件在系统设备</w:t>
      </w:r>
      <w:r>
        <w:rPr>
          <w:rFonts w:hint="eastAsia"/>
          <w:color w:val="auto"/>
          <w:szCs w:val="21"/>
          <w:lang w:eastAsia="zh-CN"/>
        </w:rPr>
        <w:t>部署</w:t>
      </w:r>
      <w:r>
        <w:rPr>
          <w:rFonts w:hint="eastAsia"/>
          <w:color w:val="auto"/>
          <w:szCs w:val="21"/>
        </w:rPr>
        <w:t>前向招标人提供。</w:t>
      </w:r>
      <w:bookmarkEnd w:id="240"/>
      <w:bookmarkEnd w:id="241"/>
    </w:p>
    <w:p w14:paraId="7B7285D2">
      <w:pPr>
        <w:pStyle w:val="5"/>
        <w:rPr>
          <w:color w:val="auto"/>
          <w:szCs w:val="21"/>
        </w:rPr>
      </w:pPr>
      <w:r>
        <w:rPr>
          <w:color w:val="auto"/>
          <w:szCs w:val="21"/>
        </w:rPr>
        <w:t>投标人提供的技术服务包括但不限于：</w:t>
      </w:r>
      <w:r>
        <w:rPr>
          <w:rFonts w:hint="eastAsia"/>
          <w:color w:val="auto"/>
          <w:szCs w:val="21"/>
          <w:lang w:eastAsia="zh-CN"/>
        </w:rPr>
        <w:t>规划、部署、</w:t>
      </w:r>
      <w:r>
        <w:rPr>
          <w:rFonts w:hint="eastAsia"/>
          <w:color w:val="auto"/>
          <w:szCs w:val="21"/>
        </w:rPr>
        <w:t>工厂培训、</w:t>
      </w:r>
      <w:r>
        <w:rPr>
          <w:color w:val="auto"/>
          <w:szCs w:val="21"/>
        </w:rPr>
        <w:t>现场培训</w:t>
      </w:r>
      <w:r>
        <w:rPr>
          <w:rFonts w:hint="eastAsia"/>
          <w:color w:val="auto"/>
          <w:szCs w:val="21"/>
        </w:rPr>
        <w:t>、</w:t>
      </w:r>
      <w:r>
        <w:rPr>
          <w:color w:val="auto"/>
          <w:szCs w:val="21"/>
        </w:rPr>
        <w:t>试运行及质量保证期的所有技术服务。</w:t>
      </w:r>
    </w:p>
    <w:p w14:paraId="4A11B551">
      <w:pPr>
        <w:pStyle w:val="5"/>
        <w:rPr>
          <w:color w:val="auto"/>
          <w:szCs w:val="21"/>
        </w:rPr>
      </w:pPr>
      <w:r>
        <w:rPr>
          <w:rFonts w:hint="eastAsia"/>
          <w:color w:val="auto"/>
          <w:szCs w:val="21"/>
        </w:rPr>
        <w:t>本项目</w:t>
      </w:r>
      <w:r>
        <w:rPr>
          <w:color w:val="auto"/>
          <w:szCs w:val="21"/>
        </w:rPr>
        <w:t>的供货范围是根据</w:t>
      </w:r>
      <w:r>
        <w:rPr>
          <w:rFonts w:hint="eastAsia"/>
          <w:color w:val="auto"/>
          <w:szCs w:val="21"/>
        </w:rPr>
        <w:t>“专用技术要求”</w:t>
      </w:r>
      <w:r>
        <w:rPr>
          <w:color w:val="auto"/>
          <w:szCs w:val="21"/>
        </w:rPr>
        <w:t>列出，投标人根据系统方案、招标范围及</w:t>
      </w:r>
      <w:r>
        <w:rPr>
          <w:rFonts w:hint="eastAsia"/>
          <w:color w:val="auto"/>
          <w:szCs w:val="21"/>
        </w:rPr>
        <w:t>接口</w:t>
      </w:r>
      <w:r>
        <w:rPr>
          <w:color w:val="auto"/>
          <w:szCs w:val="21"/>
        </w:rPr>
        <w:t>分界，对设备及服务清单进行确认，认为有必要增加的项目，投标人应提供报价，报价包含在投标总价之内</w:t>
      </w:r>
      <w:r>
        <w:rPr>
          <w:rFonts w:hint="eastAsia"/>
          <w:color w:val="auto"/>
          <w:szCs w:val="21"/>
        </w:rPr>
        <w:t>。投标人应根据招标范围和功能要求充分考虑投标方案的完整性，投标人在中标后为了实现本次招标范围内完整的系统功能和覆盖范围而补充的</w:t>
      </w:r>
      <w:r>
        <w:rPr>
          <w:color w:val="auto"/>
          <w:szCs w:val="21"/>
        </w:rPr>
        <w:t>设备及服务</w:t>
      </w:r>
      <w:r>
        <w:rPr>
          <w:rFonts w:hint="eastAsia"/>
          <w:color w:val="auto"/>
          <w:szCs w:val="21"/>
        </w:rPr>
        <w:t>，招标人将不予以补偿</w:t>
      </w:r>
      <w:r>
        <w:rPr>
          <w:color w:val="auto"/>
          <w:szCs w:val="21"/>
        </w:rPr>
        <w:t>。</w:t>
      </w:r>
    </w:p>
    <w:p w14:paraId="453610F4">
      <w:pPr>
        <w:pStyle w:val="5"/>
        <w:rPr>
          <w:color w:val="auto"/>
          <w:szCs w:val="21"/>
        </w:rPr>
      </w:pPr>
      <w:r>
        <w:rPr>
          <w:color w:val="auto"/>
          <w:szCs w:val="21"/>
        </w:rPr>
        <w:t>投标人所提供的</w:t>
      </w:r>
      <w:r>
        <w:rPr>
          <w:rFonts w:hint="eastAsia"/>
          <w:color w:val="auto"/>
          <w:szCs w:val="21"/>
        </w:rPr>
        <w:t>本项目</w:t>
      </w:r>
      <w:r>
        <w:rPr>
          <w:color w:val="auto"/>
          <w:szCs w:val="21"/>
        </w:rPr>
        <w:t>系统设备须满足和适应工程现场条件，任何对工程现场条件的特殊要求和不合理的修改建议，招标人将有权予以否决。</w:t>
      </w:r>
    </w:p>
    <w:p w14:paraId="2238EDEB">
      <w:pPr>
        <w:pStyle w:val="4"/>
        <w:rPr>
          <w:sz w:val="21"/>
          <w:szCs w:val="21"/>
        </w:rPr>
      </w:pPr>
      <w:bookmarkStart w:id="242" w:name="_Toc296528924"/>
      <w:bookmarkStart w:id="243" w:name="_Toc27622"/>
      <w:bookmarkStart w:id="244" w:name="_Toc26294"/>
      <w:r>
        <w:rPr>
          <w:sz w:val="21"/>
          <w:szCs w:val="21"/>
        </w:rPr>
        <w:t>基本要求</w:t>
      </w:r>
      <w:bookmarkEnd w:id="242"/>
      <w:bookmarkEnd w:id="243"/>
      <w:bookmarkEnd w:id="244"/>
    </w:p>
    <w:p w14:paraId="23D18DF5">
      <w:pPr>
        <w:pStyle w:val="5"/>
        <w:rPr>
          <w:color w:val="auto"/>
          <w:szCs w:val="21"/>
        </w:rPr>
      </w:pPr>
      <w:r>
        <w:rPr>
          <w:color w:val="auto"/>
          <w:szCs w:val="21"/>
        </w:rPr>
        <w:t>由投标人提供的主要设备、材料参见下</w:t>
      </w:r>
      <w:r>
        <w:rPr>
          <w:rFonts w:hint="eastAsia"/>
          <w:color w:val="auto"/>
          <w:szCs w:val="21"/>
        </w:rPr>
        <w:t>列清单</w:t>
      </w:r>
      <w:r>
        <w:rPr>
          <w:color w:val="auto"/>
          <w:szCs w:val="21"/>
        </w:rPr>
        <w:t>，投标人应根据本系统的投标方案，细化设备及材料清单。</w:t>
      </w:r>
    </w:p>
    <w:p w14:paraId="7AE6FC5B">
      <w:pPr>
        <w:pStyle w:val="5"/>
        <w:rPr>
          <w:color w:val="auto"/>
        </w:rPr>
      </w:pPr>
      <w:r>
        <w:rPr>
          <w:rFonts w:hint="eastAsia"/>
          <w:color w:val="auto"/>
          <w:szCs w:val="21"/>
        </w:rPr>
        <w:t>本项目</w:t>
      </w:r>
      <w:r>
        <w:rPr>
          <w:color w:val="auto"/>
          <w:szCs w:val="21"/>
        </w:rPr>
        <w:t>中所有设备材料供货</w:t>
      </w:r>
      <w:r>
        <w:rPr>
          <w:rFonts w:hint="eastAsia"/>
          <w:color w:val="auto"/>
          <w:szCs w:val="21"/>
          <w:lang w:eastAsia="zh-CN"/>
        </w:rPr>
        <w:t>、部署</w:t>
      </w:r>
      <w:r>
        <w:rPr>
          <w:color w:val="auto"/>
          <w:szCs w:val="21"/>
        </w:rPr>
        <w:t>及相关服务需发生的全部费用应包含在投标总价中。投标人的供货范围应是满足本</w:t>
      </w:r>
      <w:r>
        <w:rPr>
          <w:rFonts w:hint="eastAsia"/>
          <w:color w:val="auto"/>
          <w:szCs w:val="21"/>
        </w:rPr>
        <w:t>项目</w:t>
      </w:r>
      <w:r>
        <w:rPr>
          <w:color w:val="auto"/>
          <w:szCs w:val="21"/>
        </w:rPr>
        <w:t>正常运营和维修要求的完整的系统货物。</w:t>
      </w:r>
    </w:p>
    <w:p w14:paraId="20230D0D">
      <w:pPr>
        <w:pStyle w:val="5"/>
        <w:rPr>
          <w:color w:val="auto"/>
          <w:szCs w:val="21"/>
        </w:rPr>
      </w:pPr>
      <w:r>
        <w:rPr>
          <w:rFonts w:hint="eastAsia"/>
          <w:color w:val="auto"/>
          <w:szCs w:val="21"/>
        </w:rPr>
        <w:t>本项目</w:t>
      </w:r>
      <w:r>
        <w:rPr>
          <w:color w:val="auto"/>
          <w:szCs w:val="21"/>
        </w:rPr>
        <w:t>中由投标人提供的</w:t>
      </w:r>
      <w:r>
        <w:rPr>
          <w:rFonts w:hint="eastAsia"/>
          <w:color w:val="auto"/>
          <w:szCs w:val="21"/>
          <w:lang w:val="en-US"/>
        </w:rPr>
        <w:t>所有软件、服务器均须满足信创要求。如后期招标人发现投标人所提供产品不满足信创的要求，</w:t>
      </w:r>
      <w:r>
        <w:rPr>
          <w:rFonts w:hint="eastAsia"/>
          <w:color w:val="auto"/>
          <w:szCs w:val="21"/>
        </w:rPr>
        <w:t>投标人</w:t>
      </w:r>
      <w:r>
        <w:rPr>
          <w:rFonts w:hint="eastAsia"/>
          <w:color w:val="auto"/>
          <w:szCs w:val="21"/>
          <w:lang w:val="en-US"/>
        </w:rPr>
        <w:t>须</w:t>
      </w:r>
      <w:r>
        <w:rPr>
          <w:rFonts w:hint="eastAsia"/>
          <w:color w:val="auto"/>
          <w:szCs w:val="21"/>
        </w:rPr>
        <w:t>无条件</w:t>
      </w:r>
      <w:r>
        <w:rPr>
          <w:rFonts w:hint="eastAsia"/>
          <w:color w:val="auto"/>
          <w:szCs w:val="21"/>
          <w:lang w:val="en-US"/>
        </w:rPr>
        <w:t>更换成满足信创要求的产品</w:t>
      </w:r>
      <w:r>
        <w:rPr>
          <w:rFonts w:hint="eastAsia"/>
          <w:color w:val="auto"/>
          <w:szCs w:val="21"/>
        </w:rPr>
        <w:t>。</w:t>
      </w:r>
      <w:r>
        <w:rPr>
          <w:color w:val="auto"/>
          <w:szCs w:val="21"/>
        </w:rPr>
        <w:t>由此引起的一切费用由投标人承担，并赔偿招标人</w:t>
      </w:r>
      <w:r>
        <w:rPr>
          <w:rFonts w:hint="eastAsia"/>
          <w:color w:val="auto"/>
          <w:szCs w:val="21"/>
        </w:rPr>
        <w:t>一切</w:t>
      </w:r>
      <w:r>
        <w:rPr>
          <w:color w:val="auto"/>
          <w:szCs w:val="21"/>
        </w:rPr>
        <w:t>损失。</w:t>
      </w:r>
    </w:p>
    <w:p w14:paraId="3581389C"/>
    <w:p w14:paraId="1A4DAB8B">
      <w:pPr>
        <w:pStyle w:val="5"/>
        <w:rPr>
          <w:color w:val="auto"/>
          <w:szCs w:val="21"/>
        </w:rPr>
      </w:pPr>
      <w:r>
        <w:rPr>
          <w:color w:val="auto"/>
          <w:szCs w:val="21"/>
        </w:rPr>
        <w:t>投标人在投标时应根据</w:t>
      </w:r>
      <w:r>
        <w:rPr>
          <w:rFonts w:hint="eastAsia"/>
          <w:color w:val="auto"/>
          <w:szCs w:val="21"/>
        </w:rPr>
        <w:t>自身</w:t>
      </w:r>
      <w:r>
        <w:rPr>
          <w:color w:val="auto"/>
          <w:szCs w:val="21"/>
        </w:rPr>
        <w:t>经验，结合本</w:t>
      </w:r>
      <w:r>
        <w:rPr>
          <w:rFonts w:hint="eastAsia"/>
          <w:color w:val="auto"/>
          <w:szCs w:val="21"/>
        </w:rPr>
        <w:t>项目</w:t>
      </w:r>
      <w:r>
        <w:rPr>
          <w:color w:val="auto"/>
          <w:szCs w:val="21"/>
        </w:rPr>
        <w:t>及所提供的系统和设备的特点，完善下列清单内容。投标人必须保证其投标清单包含了用于投标的设备、材料和投标清单中系统之间所有列明和未列明的设备、部件、软件及材料</w:t>
      </w:r>
      <w:r>
        <w:rPr>
          <w:rFonts w:hint="eastAsia"/>
          <w:color w:val="auto"/>
          <w:szCs w:val="21"/>
        </w:rPr>
        <w:t>（含易损易耗件）</w:t>
      </w:r>
      <w:r>
        <w:rPr>
          <w:color w:val="auto"/>
          <w:szCs w:val="21"/>
        </w:rPr>
        <w:t>以保证系统的完整性。其它附属设备及材料的清单也需详细开列。投标清单应将所有内容考虑在内，如有漏项或缺项，均属于投标人的风险。</w:t>
      </w:r>
    </w:p>
    <w:p w14:paraId="2533201A">
      <w:pPr>
        <w:pStyle w:val="5"/>
        <w:rPr>
          <w:color w:val="auto"/>
          <w:szCs w:val="21"/>
        </w:rPr>
      </w:pPr>
      <w:r>
        <w:rPr>
          <w:color w:val="auto"/>
          <w:szCs w:val="21"/>
        </w:rPr>
        <w:t>由投标人提供的主要设备、材料参见下</w:t>
      </w:r>
      <w:r>
        <w:rPr>
          <w:rFonts w:hint="eastAsia"/>
          <w:color w:val="auto"/>
          <w:szCs w:val="21"/>
        </w:rPr>
        <w:t>列清单</w:t>
      </w:r>
      <w:r>
        <w:rPr>
          <w:color w:val="auto"/>
          <w:szCs w:val="21"/>
        </w:rPr>
        <w:t>，投标人应根据本系统的</w:t>
      </w:r>
      <w:r>
        <w:rPr>
          <w:rFonts w:hint="eastAsia"/>
          <w:color w:val="auto"/>
          <w:szCs w:val="21"/>
        </w:rPr>
        <w:t>招标范围</w:t>
      </w:r>
      <w:r>
        <w:rPr>
          <w:color w:val="auto"/>
          <w:szCs w:val="21"/>
        </w:rPr>
        <w:t>，细化设备及材料清单。表中所列主要的设备、材料仅用于相关设备投标人编制技术建议书及报价书之用，实际定货可能有部分调整。</w:t>
      </w:r>
      <w:r>
        <w:rPr>
          <w:rFonts w:hint="eastAsia"/>
          <w:color w:val="auto"/>
          <w:szCs w:val="21"/>
        </w:rPr>
        <w:t>在任何阶段，为实现本次招标要求而应增加的设备及材料，招标人将不给予任何补偿。</w:t>
      </w:r>
    </w:p>
    <w:p w14:paraId="63DB1CA4">
      <w:pPr>
        <w:pStyle w:val="5"/>
        <w:rPr>
          <w:color w:val="auto"/>
          <w:szCs w:val="21"/>
        </w:rPr>
      </w:pPr>
      <w:r>
        <w:rPr>
          <w:color w:val="auto"/>
          <w:szCs w:val="21"/>
        </w:rPr>
        <w:t>各设备、材料必须注明原产地及制造商。在设备及材料分项报价表中，各设备单价必须细化到板卡。</w:t>
      </w:r>
      <w:bookmarkStart w:id="245" w:name="_Toc234326244"/>
      <w:bookmarkStart w:id="246" w:name="_Toc259981514"/>
      <w:bookmarkStart w:id="247" w:name="_Toc234325796"/>
      <w:bookmarkStart w:id="248" w:name="_Toc234326780"/>
      <w:bookmarkStart w:id="249" w:name="_Toc237702882"/>
      <w:bookmarkStart w:id="250" w:name="_Toc296528925"/>
      <w:bookmarkStart w:id="251" w:name="_Toc234325976"/>
      <w:bookmarkStart w:id="252" w:name="_Toc234326512"/>
    </w:p>
    <w:p w14:paraId="2D9782DF">
      <w:pPr>
        <w:pStyle w:val="5"/>
        <w:tabs>
          <w:tab w:val="left" w:pos="851"/>
        </w:tabs>
        <w:rPr>
          <w:color w:val="auto"/>
          <w:szCs w:val="21"/>
        </w:rPr>
      </w:pPr>
      <w:r>
        <w:rPr>
          <w:color w:val="auto"/>
          <w:szCs w:val="21"/>
        </w:rPr>
        <w:t>由投标人提供的主要设备、材料表</w:t>
      </w:r>
      <w:r>
        <w:rPr>
          <w:rFonts w:hint="eastAsia"/>
          <w:color w:val="auto"/>
          <w:szCs w:val="21"/>
        </w:rPr>
        <w:t>中的各类终端均应包含相应的系统软件和工具软件，均由投标人根据本项目功能需求进行配置</w:t>
      </w:r>
      <w:r>
        <w:rPr>
          <w:color w:val="auto"/>
          <w:szCs w:val="21"/>
        </w:rPr>
        <w:t>并含在设备供货清单中</w:t>
      </w:r>
      <w:r>
        <w:rPr>
          <w:rFonts w:hint="eastAsia"/>
          <w:color w:val="auto"/>
          <w:szCs w:val="21"/>
        </w:rPr>
        <w:t>，</w:t>
      </w:r>
      <w:r>
        <w:rPr>
          <w:color w:val="auto"/>
          <w:szCs w:val="21"/>
        </w:rPr>
        <w:t>其费用应包含在投标总价中。</w:t>
      </w:r>
    </w:p>
    <w:p w14:paraId="31DFFADC">
      <w:pPr>
        <w:pStyle w:val="5"/>
        <w:tabs>
          <w:tab w:val="left" w:pos="851"/>
        </w:tabs>
        <w:rPr>
          <w:color w:val="auto"/>
          <w:szCs w:val="21"/>
        </w:rPr>
      </w:pPr>
      <w:r>
        <w:rPr>
          <w:rFonts w:hint="eastAsia"/>
          <w:color w:val="auto"/>
          <w:szCs w:val="21"/>
        </w:rPr>
        <w:t>投标人须配合招标人或第三方公司完成在建信息系统（协同办公系统系统、人力资源管理系统、审计管理系统等）从现有服务器迁移至管理</w:t>
      </w:r>
      <w:r>
        <w:rPr>
          <w:rFonts w:hint="eastAsia"/>
          <w:color w:val="auto"/>
          <w:szCs w:val="21"/>
          <w:lang w:eastAsia="zh-CN"/>
        </w:rPr>
        <w:t>管理云平台</w:t>
      </w:r>
      <w:r>
        <w:rPr>
          <w:rFonts w:hint="eastAsia"/>
          <w:color w:val="auto"/>
          <w:szCs w:val="21"/>
        </w:rPr>
        <w:t>的相关工作（含虚拟机配置、操作系统安装、平台软件及中间件部署、数据在线迁移服务等）。</w:t>
      </w:r>
    </w:p>
    <w:p w14:paraId="39F31FE3">
      <w:pPr>
        <w:pStyle w:val="5"/>
        <w:tabs>
          <w:tab w:val="left" w:pos="851"/>
        </w:tabs>
        <w:rPr>
          <w:color w:val="auto"/>
          <w:szCs w:val="21"/>
        </w:rPr>
      </w:pPr>
      <w:r>
        <w:rPr>
          <w:rFonts w:hint="eastAsia"/>
          <w:color w:val="auto"/>
          <w:szCs w:val="21"/>
        </w:rPr>
        <w:t>投标人须安排</w:t>
      </w:r>
      <w:r>
        <w:rPr>
          <w:rFonts w:hint="eastAsia"/>
          <w:color w:val="auto"/>
          <w:szCs w:val="21"/>
          <w:lang w:eastAsia="zh-CN"/>
        </w:rPr>
        <w:t>管理云平台</w:t>
      </w:r>
      <w:r>
        <w:rPr>
          <w:rFonts w:hint="eastAsia"/>
          <w:color w:val="auto"/>
          <w:szCs w:val="21"/>
        </w:rPr>
        <w:t>及配套硬件设备的厂家技术人员按照招标人的要求完成</w:t>
      </w:r>
      <w:r>
        <w:rPr>
          <w:rFonts w:hint="eastAsia"/>
          <w:color w:val="auto"/>
          <w:szCs w:val="21"/>
          <w:lang w:eastAsia="zh-CN"/>
        </w:rPr>
        <w:t>管理云平台</w:t>
      </w:r>
      <w:r>
        <w:rPr>
          <w:rFonts w:hint="eastAsia"/>
          <w:color w:val="auto"/>
          <w:szCs w:val="21"/>
        </w:rPr>
        <w:t>及配套硬件</w:t>
      </w:r>
      <w:r>
        <w:rPr>
          <w:rFonts w:hint="eastAsia"/>
          <w:color w:val="auto"/>
          <w:szCs w:val="21"/>
          <w:lang w:eastAsia="zh-CN"/>
        </w:rPr>
        <w:t>部署至试运行相关工作</w:t>
      </w:r>
      <w:r>
        <w:rPr>
          <w:rFonts w:hint="eastAsia"/>
          <w:color w:val="auto"/>
          <w:szCs w:val="21"/>
        </w:rPr>
        <w:t>。</w:t>
      </w:r>
    </w:p>
    <w:p w14:paraId="155E9D51">
      <w:pPr>
        <w:pStyle w:val="5"/>
        <w:tabs>
          <w:tab w:val="left" w:pos="851"/>
        </w:tabs>
        <w:rPr>
          <w:color w:val="auto"/>
          <w:szCs w:val="21"/>
        </w:rPr>
      </w:pPr>
      <w:r>
        <w:rPr>
          <w:rFonts w:hint="eastAsia"/>
          <w:color w:val="auto"/>
          <w:szCs w:val="21"/>
        </w:rPr>
        <w:t>投标人须安排熟悉</w:t>
      </w:r>
      <w:r>
        <w:rPr>
          <w:rFonts w:hint="eastAsia"/>
          <w:color w:val="auto"/>
          <w:szCs w:val="21"/>
          <w:lang w:eastAsia="zh-CN"/>
        </w:rPr>
        <w:t>管理云平台</w:t>
      </w:r>
      <w:r>
        <w:rPr>
          <w:rFonts w:hint="eastAsia"/>
          <w:color w:val="auto"/>
          <w:szCs w:val="21"/>
        </w:rPr>
        <w:t>架构、虚拟化配置、交换机配置及存储服务器配置的厂家技术人员配合招标人或第三方公司完成在建数字化转型系统（如协同办公系统系统、人力资源管理系统、审计管理系统、合同管理系统等）从现有服务器或者云计算平台迁移至</w:t>
      </w:r>
      <w:r>
        <w:rPr>
          <w:rFonts w:hint="eastAsia"/>
          <w:color w:val="auto"/>
          <w:szCs w:val="21"/>
          <w:lang w:eastAsia="zh-CN"/>
        </w:rPr>
        <w:t>管理云平台</w:t>
      </w:r>
      <w:r>
        <w:rPr>
          <w:rFonts w:hint="eastAsia"/>
          <w:color w:val="auto"/>
          <w:szCs w:val="21"/>
        </w:rPr>
        <w:t>的相关工作（含虚拟机配置、操作系统安装、平台软件及中间件适配部署、数据在线迁移服务等）。并安排厂家技术人员在维保期内随时响应招标人实际使用过程中的使用问题，协助招标人或第三方公司进行相关调整、配置等操作。</w:t>
      </w:r>
    </w:p>
    <w:p w14:paraId="03B6E850"/>
    <w:bookmarkEnd w:id="245"/>
    <w:bookmarkEnd w:id="246"/>
    <w:bookmarkEnd w:id="247"/>
    <w:bookmarkEnd w:id="248"/>
    <w:bookmarkEnd w:id="249"/>
    <w:bookmarkEnd w:id="250"/>
    <w:bookmarkEnd w:id="251"/>
    <w:bookmarkEnd w:id="252"/>
    <w:p w14:paraId="4BB574CB">
      <w:pPr>
        <w:pStyle w:val="4"/>
        <w:rPr>
          <w:sz w:val="21"/>
          <w:szCs w:val="21"/>
        </w:rPr>
      </w:pPr>
      <w:bookmarkStart w:id="253" w:name="_Toc28868"/>
      <w:bookmarkStart w:id="254" w:name="_Toc8488"/>
      <w:r>
        <w:rPr>
          <w:rFonts w:hint="eastAsia"/>
          <w:sz w:val="21"/>
          <w:szCs w:val="21"/>
        </w:rPr>
        <w:t>主要设备及材料清单</w:t>
      </w:r>
      <w:bookmarkEnd w:id="253"/>
      <w:bookmarkEnd w:id="254"/>
    </w:p>
    <w:p w14:paraId="3D8E7120">
      <w:pPr>
        <w:pStyle w:val="5"/>
        <w:numPr>
          <w:ilvl w:val="2"/>
          <w:numId w:val="0"/>
        </w:numPr>
        <w:ind w:left="226"/>
        <w:rPr>
          <w:color w:val="auto"/>
          <w:szCs w:val="21"/>
        </w:rPr>
      </w:pPr>
      <w:bookmarkStart w:id="255" w:name="_Toc234326797"/>
      <w:bookmarkStart w:id="256" w:name="_Toc234325993"/>
      <w:bookmarkStart w:id="257" w:name="_Toc259981526"/>
      <w:bookmarkStart w:id="258" w:name="_Toc234326529"/>
      <w:bookmarkStart w:id="259" w:name="_Toc237702899"/>
      <w:bookmarkStart w:id="260" w:name="_Toc234326261"/>
      <w:r>
        <w:rPr>
          <w:rFonts w:hint="eastAsia"/>
          <w:color w:val="auto"/>
          <w:szCs w:val="21"/>
          <w:lang w:val="en-US"/>
        </w:rPr>
        <w:t>管理云计算平台及相关硬件</w:t>
      </w:r>
      <w:r>
        <w:rPr>
          <w:rFonts w:ascii="宋体" w:hAnsi="宋体"/>
          <w:color w:val="auto"/>
          <w:szCs w:val="21"/>
        </w:rPr>
        <w:t>设备</w:t>
      </w:r>
      <w:r>
        <w:rPr>
          <w:rFonts w:hint="eastAsia"/>
          <w:color w:val="auto"/>
          <w:szCs w:val="21"/>
        </w:rPr>
        <w:t>供货清单（仅供参考）如下表：</w:t>
      </w:r>
    </w:p>
    <w:p w14:paraId="5F364293"/>
    <w:tbl>
      <w:tblPr>
        <w:tblStyle w:val="87"/>
        <w:tblW w:w="8557" w:type="dxa"/>
        <w:jc w:val="center"/>
        <w:tblLayout w:type="fixed"/>
        <w:tblCellMar>
          <w:top w:w="0" w:type="dxa"/>
          <w:left w:w="108" w:type="dxa"/>
          <w:bottom w:w="0" w:type="dxa"/>
          <w:right w:w="108" w:type="dxa"/>
        </w:tblCellMar>
      </w:tblPr>
      <w:tblGrid>
        <w:gridCol w:w="634"/>
        <w:gridCol w:w="2091"/>
        <w:gridCol w:w="744"/>
        <w:gridCol w:w="708"/>
        <w:gridCol w:w="1416"/>
        <w:gridCol w:w="1596"/>
        <w:gridCol w:w="1368"/>
      </w:tblGrid>
      <w:tr w14:paraId="3505FE54">
        <w:tblPrEx>
          <w:tblCellMar>
            <w:top w:w="0" w:type="dxa"/>
            <w:left w:w="108" w:type="dxa"/>
            <w:bottom w:w="0" w:type="dxa"/>
            <w:right w:w="108" w:type="dxa"/>
          </w:tblCellMar>
        </w:tblPrEx>
        <w:trPr>
          <w:trHeight w:val="315" w:hRule="atLeast"/>
          <w:tblHeader/>
          <w:jc w:val="center"/>
        </w:trPr>
        <w:tc>
          <w:tcPr>
            <w:tcW w:w="634" w:type="dxa"/>
            <w:tcBorders>
              <w:top w:val="single" w:color="auto" w:sz="4" w:space="0"/>
              <w:left w:val="single" w:color="auto" w:sz="4" w:space="0"/>
              <w:bottom w:val="single" w:color="auto" w:sz="4" w:space="0"/>
              <w:right w:val="single" w:color="auto" w:sz="4" w:space="0"/>
            </w:tcBorders>
            <w:shd w:val="clear" w:color="auto" w:fill="A6A6A6"/>
            <w:tcMar>
              <w:left w:w="28" w:type="dxa"/>
              <w:right w:w="28" w:type="dxa"/>
            </w:tcMar>
            <w:vAlign w:val="center"/>
          </w:tcPr>
          <w:p w14:paraId="09FAA8F3">
            <w:pPr>
              <w:pStyle w:val="124"/>
              <w:spacing w:line="240" w:lineRule="atLeast"/>
              <w:ind w:left="0" w:firstLine="0" w:firstLineChars="0"/>
              <w:jc w:val="center"/>
              <w:rPr>
                <w:rFonts w:ascii="宋体" w:hAnsi="宋体"/>
                <w:kern w:val="0"/>
                <w:sz w:val="21"/>
                <w:szCs w:val="21"/>
              </w:rPr>
            </w:pPr>
            <w:r>
              <w:rPr>
                <w:rFonts w:ascii="宋体" w:hAnsi="宋体"/>
                <w:kern w:val="0"/>
                <w:sz w:val="21"/>
                <w:szCs w:val="21"/>
              </w:rPr>
              <w:t>序号</w:t>
            </w:r>
          </w:p>
        </w:tc>
        <w:tc>
          <w:tcPr>
            <w:tcW w:w="2091" w:type="dxa"/>
            <w:tcBorders>
              <w:top w:val="single" w:color="auto" w:sz="4" w:space="0"/>
              <w:left w:val="nil"/>
              <w:bottom w:val="single" w:color="auto" w:sz="4" w:space="0"/>
              <w:right w:val="single" w:color="auto" w:sz="4" w:space="0"/>
            </w:tcBorders>
            <w:shd w:val="clear" w:color="auto" w:fill="A6A6A6"/>
            <w:tcMar>
              <w:left w:w="28" w:type="dxa"/>
              <w:right w:w="28" w:type="dxa"/>
            </w:tcMar>
            <w:vAlign w:val="center"/>
          </w:tcPr>
          <w:p w14:paraId="68C64805">
            <w:pPr>
              <w:pStyle w:val="124"/>
              <w:spacing w:line="240" w:lineRule="atLeast"/>
              <w:ind w:left="0" w:firstLine="0" w:firstLineChars="0"/>
              <w:jc w:val="center"/>
              <w:rPr>
                <w:rFonts w:ascii="宋体" w:hAnsi="宋体"/>
                <w:kern w:val="0"/>
                <w:sz w:val="21"/>
                <w:szCs w:val="21"/>
              </w:rPr>
            </w:pPr>
            <w:r>
              <w:rPr>
                <w:rFonts w:ascii="宋体" w:hAnsi="宋体"/>
                <w:sz w:val="21"/>
                <w:szCs w:val="21"/>
              </w:rPr>
              <w:t>设备及材料名称</w:t>
            </w:r>
          </w:p>
        </w:tc>
        <w:tc>
          <w:tcPr>
            <w:tcW w:w="744" w:type="dxa"/>
            <w:tcBorders>
              <w:top w:val="single" w:color="auto" w:sz="4" w:space="0"/>
              <w:left w:val="nil"/>
              <w:bottom w:val="single" w:color="auto" w:sz="4" w:space="0"/>
              <w:right w:val="single" w:color="auto" w:sz="4" w:space="0"/>
            </w:tcBorders>
            <w:shd w:val="clear" w:color="auto" w:fill="A6A6A6"/>
            <w:tcMar>
              <w:left w:w="28" w:type="dxa"/>
              <w:right w:w="28" w:type="dxa"/>
            </w:tcMar>
            <w:vAlign w:val="center"/>
          </w:tcPr>
          <w:p w14:paraId="65A1E1FD">
            <w:pPr>
              <w:pStyle w:val="124"/>
              <w:spacing w:line="240" w:lineRule="atLeast"/>
              <w:ind w:left="0" w:firstLine="0" w:firstLineChars="0"/>
              <w:jc w:val="center"/>
              <w:rPr>
                <w:rFonts w:ascii="宋体" w:hAnsi="宋体"/>
                <w:kern w:val="0"/>
                <w:sz w:val="21"/>
                <w:szCs w:val="21"/>
              </w:rPr>
            </w:pPr>
            <w:r>
              <w:rPr>
                <w:rFonts w:ascii="宋体" w:hAnsi="宋体"/>
                <w:kern w:val="0"/>
                <w:sz w:val="21"/>
                <w:szCs w:val="21"/>
              </w:rPr>
              <w:t>单位</w:t>
            </w:r>
          </w:p>
        </w:tc>
        <w:tc>
          <w:tcPr>
            <w:tcW w:w="708" w:type="dxa"/>
            <w:tcBorders>
              <w:top w:val="single" w:color="auto" w:sz="4" w:space="0"/>
              <w:left w:val="nil"/>
              <w:bottom w:val="single" w:color="auto" w:sz="4" w:space="0"/>
              <w:right w:val="single" w:color="auto" w:sz="4" w:space="0"/>
            </w:tcBorders>
            <w:shd w:val="clear" w:color="auto" w:fill="A6A6A6"/>
            <w:tcMar>
              <w:left w:w="28" w:type="dxa"/>
              <w:right w:w="28" w:type="dxa"/>
            </w:tcMar>
            <w:vAlign w:val="center"/>
          </w:tcPr>
          <w:p w14:paraId="1CD0158A">
            <w:pPr>
              <w:pStyle w:val="124"/>
              <w:spacing w:line="240" w:lineRule="atLeast"/>
              <w:ind w:left="0" w:firstLine="0" w:firstLineChars="0"/>
              <w:jc w:val="center"/>
              <w:rPr>
                <w:rFonts w:ascii="宋体" w:hAnsi="宋体"/>
                <w:kern w:val="0"/>
                <w:sz w:val="21"/>
                <w:szCs w:val="21"/>
              </w:rPr>
            </w:pPr>
            <w:r>
              <w:rPr>
                <w:rFonts w:ascii="宋体" w:hAnsi="宋体"/>
                <w:kern w:val="0"/>
                <w:sz w:val="21"/>
                <w:szCs w:val="21"/>
              </w:rPr>
              <w:t>数量</w:t>
            </w:r>
          </w:p>
        </w:tc>
        <w:tc>
          <w:tcPr>
            <w:tcW w:w="1416" w:type="dxa"/>
            <w:tcBorders>
              <w:top w:val="single" w:color="auto" w:sz="4" w:space="0"/>
              <w:left w:val="nil"/>
              <w:bottom w:val="single" w:color="auto" w:sz="4" w:space="0"/>
              <w:right w:val="single" w:color="auto" w:sz="4" w:space="0"/>
            </w:tcBorders>
            <w:shd w:val="clear" w:color="auto" w:fill="A6A6A6"/>
            <w:vAlign w:val="center"/>
          </w:tcPr>
          <w:p w14:paraId="7F6D26CD">
            <w:pPr>
              <w:pStyle w:val="124"/>
              <w:spacing w:line="240" w:lineRule="atLeast"/>
              <w:ind w:left="0" w:firstLine="0" w:firstLineChars="0"/>
              <w:jc w:val="center"/>
              <w:rPr>
                <w:rFonts w:ascii="宋体" w:hAnsi="宋体"/>
                <w:kern w:val="0"/>
                <w:sz w:val="21"/>
                <w:szCs w:val="21"/>
              </w:rPr>
            </w:pPr>
            <w:r>
              <w:rPr>
                <w:rFonts w:hint="eastAsia" w:ascii="宋体" w:hAnsi="宋体"/>
                <w:kern w:val="0"/>
                <w:sz w:val="21"/>
                <w:szCs w:val="21"/>
              </w:rPr>
              <w:t>安装位置</w:t>
            </w:r>
          </w:p>
        </w:tc>
        <w:tc>
          <w:tcPr>
            <w:tcW w:w="1596" w:type="dxa"/>
            <w:tcBorders>
              <w:top w:val="single" w:color="auto" w:sz="4" w:space="0"/>
              <w:left w:val="single" w:color="auto" w:sz="4" w:space="0"/>
              <w:bottom w:val="single" w:color="auto" w:sz="4" w:space="0"/>
              <w:right w:val="single" w:color="auto" w:sz="4" w:space="0"/>
            </w:tcBorders>
            <w:shd w:val="clear" w:color="auto" w:fill="A6A6A6"/>
            <w:vAlign w:val="center"/>
          </w:tcPr>
          <w:p w14:paraId="37C3F735">
            <w:pPr>
              <w:pStyle w:val="124"/>
              <w:spacing w:line="240" w:lineRule="atLeast"/>
              <w:ind w:left="0" w:firstLine="0" w:firstLineChars="0"/>
              <w:jc w:val="center"/>
              <w:rPr>
                <w:rFonts w:ascii="宋体" w:hAnsi="宋体"/>
                <w:kern w:val="0"/>
                <w:sz w:val="21"/>
                <w:szCs w:val="21"/>
              </w:rPr>
            </w:pPr>
            <w:r>
              <w:rPr>
                <w:rFonts w:hint="eastAsia" w:ascii="宋体" w:hAnsi="宋体"/>
                <w:kern w:val="0"/>
                <w:sz w:val="21"/>
                <w:szCs w:val="21"/>
              </w:rPr>
              <w:t>技术参数</w:t>
            </w:r>
          </w:p>
        </w:tc>
        <w:tc>
          <w:tcPr>
            <w:tcW w:w="1368" w:type="dxa"/>
            <w:tcBorders>
              <w:top w:val="single" w:color="auto" w:sz="4" w:space="0"/>
              <w:left w:val="single" w:color="auto" w:sz="4" w:space="0"/>
              <w:bottom w:val="single" w:color="auto" w:sz="4" w:space="0"/>
              <w:right w:val="single" w:color="auto" w:sz="4" w:space="0"/>
            </w:tcBorders>
            <w:shd w:val="clear" w:color="auto" w:fill="A6A6A6"/>
            <w:tcMar>
              <w:left w:w="28" w:type="dxa"/>
              <w:right w:w="28" w:type="dxa"/>
            </w:tcMar>
            <w:vAlign w:val="center"/>
          </w:tcPr>
          <w:p w14:paraId="0EC780BB">
            <w:pPr>
              <w:pStyle w:val="124"/>
              <w:spacing w:line="240" w:lineRule="atLeast"/>
              <w:ind w:left="0" w:firstLine="0" w:firstLineChars="0"/>
              <w:jc w:val="center"/>
              <w:rPr>
                <w:rFonts w:ascii="宋体" w:hAnsi="宋体"/>
                <w:kern w:val="0"/>
                <w:sz w:val="21"/>
                <w:szCs w:val="21"/>
              </w:rPr>
            </w:pPr>
            <w:r>
              <w:rPr>
                <w:rFonts w:ascii="宋体" w:hAnsi="宋体"/>
                <w:kern w:val="0"/>
                <w:sz w:val="21"/>
                <w:szCs w:val="21"/>
              </w:rPr>
              <w:t>备注</w:t>
            </w:r>
          </w:p>
        </w:tc>
      </w:tr>
      <w:tr w14:paraId="19486EAD">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5FA2315D">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CE6F270">
            <w:pPr>
              <w:pStyle w:val="124"/>
              <w:spacing w:line="240" w:lineRule="atLeast"/>
              <w:ind w:left="0" w:firstLine="0" w:firstLineChars="0"/>
              <w:rPr>
                <w:rFonts w:ascii="宋体" w:hAnsi="宋体"/>
                <w:kern w:val="0"/>
                <w:sz w:val="21"/>
                <w:szCs w:val="21"/>
              </w:rPr>
            </w:pPr>
            <w:r>
              <w:rPr>
                <w:rFonts w:hint="eastAsia"/>
                <w:sz w:val="21"/>
                <w:szCs w:val="21"/>
              </w:rPr>
              <w:t>计算/管理节点服务器</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E8A9CD9">
            <w:pPr>
              <w:pStyle w:val="124"/>
              <w:spacing w:line="240" w:lineRule="atLeast"/>
              <w:ind w:left="0" w:firstLine="0" w:firstLineChars="0"/>
              <w:jc w:val="center"/>
              <w:rPr>
                <w:rFonts w:ascii="宋体" w:hAnsi="宋体"/>
                <w:kern w:val="0"/>
                <w:sz w:val="21"/>
                <w:szCs w:val="21"/>
              </w:rPr>
            </w:pPr>
            <w:r>
              <w:rPr>
                <w:rFonts w:hint="eastAsia"/>
                <w:sz w:val="21"/>
                <w:szCs w:val="21"/>
              </w:rPr>
              <w:t>台</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0D031F9C">
            <w:pPr>
              <w:pStyle w:val="124"/>
              <w:spacing w:line="240" w:lineRule="atLeast"/>
              <w:ind w:left="0" w:firstLine="0" w:firstLineChars="0"/>
              <w:jc w:val="center"/>
              <w:rPr>
                <w:rFonts w:ascii="宋体" w:hAnsi="宋体"/>
                <w:kern w:val="0"/>
                <w:sz w:val="21"/>
                <w:szCs w:val="21"/>
              </w:rPr>
            </w:pPr>
            <w:r>
              <w:rPr>
                <w:rFonts w:hint="eastAsia"/>
                <w:sz w:val="21"/>
                <w:szCs w:val="21"/>
              </w:rPr>
              <w:t>25</w:t>
            </w:r>
          </w:p>
        </w:tc>
        <w:tc>
          <w:tcPr>
            <w:tcW w:w="1416" w:type="dxa"/>
            <w:tcBorders>
              <w:top w:val="single" w:color="auto" w:sz="4" w:space="0"/>
              <w:left w:val="nil"/>
              <w:bottom w:val="single" w:color="auto" w:sz="4" w:space="0"/>
              <w:right w:val="single" w:color="auto" w:sz="4" w:space="0"/>
            </w:tcBorders>
            <w:vAlign w:val="center"/>
          </w:tcPr>
          <w:p w14:paraId="11CE4A30">
            <w:pPr>
              <w:spacing w:line="240" w:lineRule="atLeast"/>
              <w:ind w:left="0" w:firstLine="0"/>
              <w:rPr>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61991728">
            <w:pPr>
              <w:pStyle w:val="359"/>
              <w:spacing w:line="240" w:lineRule="atLeast"/>
              <w:ind w:left="0"/>
              <w:jc w:val="left"/>
              <w:rPr>
                <w:rFonts w:ascii="宋体"/>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6B08CAD2">
            <w:pPr>
              <w:spacing w:line="240" w:lineRule="atLeast"/>
              <w:ind w:left="0" w:firstLine="0"/>
              <w:rPr>
                <w:sz w:val="21"/>
                <w:szCs w:val="21"/>
              </w:rPr>
            </w:pPr>
            <w:r>
              <w:rPr>
                <w:rFonts w:hint="eastAsia"/>
                <w:sz w:val="21"/>
                <w:szCs w:val="21"/>
              </w:rPr>
              <w:t>满足信创要求</w:t>
            </w:r>
          </w:p>
          <w:p w14:paraId="4614393F">
            <w:pPr>
              <w:spacing w:line="240" w:lineRule="atLeast"/>
              <w:ind w:left="0" w:firstLine="0"/>
              <w:rPr>
                <w:rFonts w:ascii="宋体" w:hAnsi="宋体"/>
                <w:spacing w:val="1"/>
                <w:kern w:val="0"/>
                <w:sz w:val="21"/>
                <w:szCs w:val="21"/>
              </w:rPr>
            </w:pPr>
            <w:r>
              <w:rPr>
                <w:rFonts w:hint="eastAsia"/>
                <w:sz w:val="21"/>
                <w:szCs w:val="21"/>
              </w:rPr>
              <w:t>其中1台配一张1</w:t>
            </w:r>
            <w:r>
              <w:rPr>
                <w:sz w:val="21"/>
                <w:szCs w:val="21"/>
              </w:rPr>
              <w:t>6G</w:t>
            </w:r>
            <w:r>
              <w:rPr>
                <w:rFonts w:hint="eastAsia"/>
                <w:sz w:val="21"/>
                <w:szCs w:val="21"/>
              </w:rPr>
              <w:t>企业级</w:t>
            </w:r>
            <w:r>
              <w:rPr>
                <w:sz w:val="21"/>
                <w:szCs w:val="21"/>
              </w:rPr>
              <w:t>显存卡，可通过</w:t>
            </w:r>
            <w:r>
              <w:rPr>
                <w:rFonts w:hint="eastAsia"/>
                <w:sz w:val="21"/>
                <w:szCs w:val="21"/>
                <w:lang w:eastAsia="zh-CN"/>
              </w:rPr>
              <w:t>管理云平台</w:t>
            </w:r>
            <w:r>
              <w:rPr>
                <w:sz w:val="21"/>
                <w:szCs w:val="21"/>
              </w:rPr>
              <w:t>直通到虚拟机使用</w:t>
            </w:r>
          </w:p>
        </w:tc>
      </w:tr>
      <w:tr w14:paraId="0B044801">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067274D6">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5E5B4B1">
            <w:pPr>
              <w:pStyle w:val="124"/>
              <w:spacing w:line="240" w:lineRule="atLeast"/>
              <w:ind w:left="0" w:firstLine="0" w:firstLineChars="0"/>
              <w:rPr>
                <w:sz w:val="21"/>
                <w:szCs w:val="21"/>
              </w:rPr>
            </w:pPr>
            <w:r>
              <w:rPr>
                <w:rFonts w:hint="eastAsia"/>
                <w:sz w:val="21"/>
                <w:szCs w:val="21"/>
              </w:rPr>
              <w:t>存储管理服务器</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7E875AD">
            <w:pPr>
              <w:pStyle w:val="124"/>
              <w:spacing w:line="240" w:lineRule="atLeast"/>
              <w:ind w:left="0" w:firstLine="0" w:firstLineChars="0"/>
              <w:jc w:val="center"/>
              <w:rPr>
                <w:sz w:val="21"/>
                <w:szCs w:val="21"/>
              </w:rPr>
            </w:pPr>
            <w:r>
              <w:rPr>
                <w:rFonts w:hint="eastAsia"/>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2DBBB553">
            <w:pPr>
              <w:pStyle w:val="124"/>
              <w:spacing w:line="240" w:lineRule="atLeast"/>
              <w:ind w:left="0" w:firstLine="0" w:firstLineChars="0"/>
              <w:jc w:val="center"/>
              <w:rPr>
                <w:sz w:val="21"/>
                <w:szCs w:val="21"/>
              </w:rPr>
            </w:pPr>
            <w:r>
              <w:rPr>
                <w:sz w:val="21"/>
                <w:szCs w:val="21"/>
              </w:rPr>
              <w:t>1</w:t>
            </w:r>
          </w:p>
        </w:tc>
        <w:tc>
          <w:tcPr>
            <w:tcW w:w="1416" w:type="dxa"/>
            <w:tcBorders>
              <w:top w:val="single" w:color="auto" w:sz="4" w:space="0"/>
              <w:left w:val="nil"/>
              <w:bottom w:val="single" w:color="auto" w:sz="4" w:space="0"/>
              <w:right w:val="single" w:color="auto" w:sz="4" w:space="0"/>
            </w:tcBorders>
            <w:vAlign w:val="center"/>
          </w:tcPr>
          <w:p w14:paraId="0515280B">
            <w:pPr>
              <w:spacing w:line="240" w:lineRule="atLeast"/>
              <w:ind w:left="0" w:firstLine="0"/>
              <w:rPr>
                <w:rFonts w:ascii="宋体" w:hAnsi="宋体"/>
                <w:kern w:val="0"/>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7B886E03">
            <w:pPr>
              <w:pStyle w:val="359"/>
              <w:spacing w:line="240" w:lineRule="atLeast"/>
              <w:ind w:left="0"/>
              <w:jc w:val="left"/>
              <w:rPr>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115E6A47">
            <w:pPr>
              <w:spacing w:line="240" w:lineRule="atLeast"/>
              <w:ind w:left="0" w:firstLine="0"/>
              <w:rPr>
                <w:rFonts w:ascii="宋体" w:hAnsi="宋体"/>
                <w:spacing w:val="1"/>
                <w:kern w:val="0"/>
                <w:sz w:val="21"/>
                <w:szCs w:val="21"/>
              </w:rPr>
            </w:pPr>
            <w:r>
              <w:rPr>
                <w:rFonts w:hint="eastAsia"/>
                <w:sz w:val="21"/>
                <w:szCs w:val="21"/>
              </w:rPr>
              <w:t>满足信创要求</w:t>
            </w:r>
          </w:p>
        </w:tc>
      </w:tr>
      <w:tr w14:paraId="39BC41E1">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245F86E0">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326097F">
            <w:pPr>
              <w:pStyle w:val="124"/>
              <w:spacing w:line="240" w:lineRule="atLeast"/>
              <w:ind w:left="0" w:firstLine="0" w:firstLineChars="0"/>
              <w:rPr>
                <w:rFonts w:ascii="宋体" w:hAnsi="宋体"/>
                <w:kern w:val="0"/>
                <w:sz w:val="21"/>
                <w:szCs w:val="21"/>
              </w:rPr>
            </w:pPr>
            <w:r>
              <w:rPr>
                <w:rFonts w:hint="eastAsia"/>
                <w:sz w:val="21"/>
                <w:szCs w:val="21"/>
              </w:rPr>
              <w:t>备份管理服务器</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F48D96B">
            <w:pPr>
              <w:pStyle w:val="124"/>
              <w:spacing w:line="240" w:lineRule="atLeast"/>
              <w:ind w:left="0" w:firstLine="0" w:firstLineChars="0"/>
              <w:jc w:val="center"/>
              <w:rPr>
                <w:rFonts w:ascii="宋体" w:hAnsi="宋体"/>
                <w:kern w:val="0"/>
                <w:sz w:val="21"/>
                <w:szCs w:val="21"/>
              </w:rPr>
            </w:pPr>
            <w:r>
              <w:rPr>
                <w:rFonts w:hint="eastAsia"/>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5339580D">
            <w:pPr>
              <w:pStyle w:val="124"/>
              <w:spacing w:line="240" w:lineRule="atLeast"/>
              <w:ind w:left="0" w:firstLine="0" w:firstLineChars="0"/>
              <w:jc w:val="center"/>
              <w:rPr>
                <w:rFonts w:ascii="宋体" w:hAnsi="宋体"/>
                <w:kern w:val="0"/>
                <w:sz w:val="21"/>
                <w:szCs w:val="21"/>
              </w:rPr>
            </w:pPr>
            <w:r>
              <w:rPr>
                <w:sz w:val="21"/>
                <w:szCs w:val="21"/>
              </w:rPr>
              <w:t>1</w:t>
            </w:r>
          </w:p>
        </w:tc>
        <w:tc>
          <w:tcPr>
            <w:tcW w:w="1416" w:type="dxa"/>
            <w:tcBorders>
              <w:top w:val="single" w:color="auto" w:sz="4" w:space="0"/>
              <w:left w:val="nil"/>
              <w:bottom w:val="single" w:color="auto" w:sz="4" w:space="0"/>
              <w:right w:val="single" w:color="auto" w:sz="4" w:space="0"/>
            </w:tcBorders>
            <w:vAlign w:val="center"/>
          </w:tcPr>
          <w:p w14:paraId="1436BA8F">
            <w:pPr>
              <w:spacing w:line="240" w:lineRule="atLeast"/>
              <w:ind w:left="0" w:firstLine="0"/>
              <w:rPr>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6F9FE863">
            <w:pPr>
              <w:pStyle w:val="359"/>
              <w:spacing w:line="240" w:lineRule="atLeast"/>
              <w:ind w:left="0"/>
              <w:jc w:val="left"/>
              <w:rPr>
                <w:rFonts w:ascii="宋体"/>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711F0F4E">
            <w:pPr>
              <w:pStyle w:val="359"/>
              <w:spacing w:line="240" w:lineRule="atLeast"/>
              <w:ind w:left="0"/>
              <w:jc w:val="left"/>
              <w:rPr>
                <w:rFonts w:ascii="宋体"/>
                <w:kern w:val="0"/>
                <w:szCs w:val="21"/>
              </w:rPr>
            </w:pPr>
            <w:r>
              <w:rPr>
                <w:rFonts w:hint="eastAsia"/>
                <w:szCs w:val="21"/>
              </w:rPr>
              <w:t>满足信创要求</w:t>
            </w:r>
          </w:p>
        </w:tc>
      </w:tr>
      <w:tr w14:paraId="63DA60CB">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02D3CBD9">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1EDE4FE6">
            <w:pPr>
              <w:pStyle w:val="124"/>
              <w:spacing w:line="240" w:lineRule="atLeast"/>
              <w:ind w:left="0" w:firstLine="0" w:firstLineChars="0"/>
              <w:rPr>
                <w:sz w:val="21"/>
                <w:szCs w:val="21"/>
              </w:rPr>
            </w:pPr>
            <w:r>
              <w:rPr>
                <w:rFonts w:hint="eastAsia"/>
                <w:sz w:val="21"/>
                <w:szCs w:val="21"/>
              </w:rPr>
              <w:t>业务交换机</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9F456C4">
            <w:pPr>
              <w:pStyle w:val="124"/>
              <w:spacing w:line="240" w:lineRule="atLeast"/>
              <w:ind w:left="0" w:firstLine="0" w:firstLineChars="0"/>
              <w:jc w:val="center"/>
              <w:rPr>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6A1447EE">
            <w:pPr>
              <w:pStyle w:val="124"/>
              <w:spacing w:line="240" w:lineRule="atLeast"/>
              <w:ind w:left="0" w:firstLine="0" w:firstLineChars="0"/>
              <w:jc w:val="center"/>
              <w:rPr>
                <w:sz w:val="21"/>
                <w:szCs w:val="21"/>
              </w:rPr>
            </w:pPr>
            <w:r>
              <w:rPr>
                <w:rFonts w:hint="eastAsia"/>
                <w:sz w:val="21"/>
                <w:szCs w:val="21"/>
              </w:rPr>
              <w:t>4</w:t>
            </w:r>
          </w:p>
        </w:tc>
        <w:tc>
          <w:tcPr>
            <w:tcW w:w="1416" w:type="dxa"/>
            <w:tcBorders>
              <w:top w:val="single" w:color="auto" w:sz="4" w:space="0"/>
              <w:left w:val="nil"/>
              <w:bottom w:val="single" w:color="auto" w:sz="4" w:space="0"/>
              <w:right w:val="single" w:color="auto" w:sz="4" w:space="0"/>
            </w:tcBorders>
            <w:vAlign w:val="center"/>
          </w:tcPr>
          <w:p w14:paraId="7FE10DC7">
            <w:pPr>
              <w:spacing w:line="240" w:lineRule="atLeast"/>
              <w:ind w:left="0" w:firstLine="0"/>
              <w:rPr>
                <w:rFonts w:ascii="宋体" w:hAnsi="宋体"/>
                <w:kern w:val="0"/>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22183F66">
            <w:pPr>
              <w:pStyle w:val="359"/>
              <w:spacing w:line="240" w:lineRule="atLeast"/>
              <w:ind w:left="0"/>
              <w:jc w:val="left"/>
              <w:rPr>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4DC33F2C">
            <w:pPr>
              <w:pStyle w:val="359"/>
              <w:spacing w:line="240" w:lineRule="atLeast"/>
              <w:ind w:left="0"/>
              <w:jc w:val="left"/>
              <w:rPr>
                <w:szCs w:val="21"/>
              </w:rPr>
            </w:pPr>
          </w:p>
        </w:tc>
      </w:tr>
      <w:tr w14:paraId="3C8DFF83">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47FFE53D">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E940B58">
            <w:pPr>
              <w:pStyle w:val="124"/>
              <w:spacing w:line="240" w:lineRule="atLeast"/>
              <w:ind w:left="0" w:firstLine="0" w:firstLineChars="0"/>
              <w:rPr>
                <w:rFonts w:ascii="宋体" w:hAnsi="宋体" w:cs="宋体"/>
                <w:kern w:val="0"/>
                <w:sz w:val="21"/>
                <w:szCs w:val="21"/>
                <w:lang w:bidi="ar"/>
              </w:rPr>
            </w:pPr>
            <w:r>
              <w:rPr>
                <w:rFonts w:hint="eastAsia" w:ascii="宋体" w:hAnsi="宋体" w:cs="宋体"/>
                <w:kern w:val="0"/>
                <w:sz w:val="21"/>
                <w:szCs w:val="21"/>
                <w:lang w:bidi="ar"/>
              </w:rPr>
              <w:t>存储</w:t>
            </w:r>
            <w:r>
              <w:rPr>
                <w:rFonts w:hint="eastAsia"/>
                <w:sz w:val="21"/>
                <w:szCs w:val="21"/>
              </w:rPr>
              <w:t>交换机</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7EF506E">
            <w:pPr>
              <w:pStyle w:val="124"/>
              <w:spacing w:line="240" w:lineRule="atLeast"/>
              <w:ind w:left="0" w:firstLine="0" w:firstLineChars="0"/>
              <w:jc w:val="center"/>
              <w:rPr>
                <w:rFonts w:ascii="宋体"/>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5543F0EB">
            <w:pPr>
              <w:pStyle w:val="124"/>
              <w:spacing w:line="240" w:lineRule="atLeast"/>
              <w:ind w:left="0" w:firstLine="0" w:firstLineChars="0"/>
              <w:jc w:val="center"/>
              <w:rPr>
                <w:sz w:val="21"/>
                <w:szCs w:val="21"/>
              </w:rPr>
            </w:pPr>
            <w:r>
              <w:rPr>
                <w:rFonts w:hint="eastAsia"/>
                <w:sz w:val="21"/>
                <w:szCs w:val="21"/>
              </w:rPr>
              <w:t>2</w:t>
            </w:r>
          </w:p>
        </w:tc>
        <w:tc>
          <w:tcPr>
            <w:tcW w:w="1416" w:type="dxa"/>
            <w:tcBorders>
              <w:top w:val="single" w:color="auto" w:sz="4" w:space="0"/>
              <w:left w:val="nil"/>
              <w:bottom w:val="single" w:color="auto" w:sz="4" w:space="0"/>
              <w:right w:val="single" w:color="auto" w:sz="4" w:space="0"/>
            </w:tcBorders>
            <w:vAlign w:val="center"/>
          </w:tcPr>
          <w:p w14:paraId="444B77DB">
            <w:pPr>
              <w:spacing w:line="240" w:lineRule="atLeast"/>
              <w:ind w:left="0" w:firstLine="0"/>
              <w:rPr>
                <w:rFonts w:ascii="宋体" w:hAnsi="宋体"/>
                <w:kern w:val="0"/>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70899F9F">
            <w:pPr>
              <w:pStyle w:val="359"/>
              <w:spacing w:line="240" w:lineRule="atLeast"/>
              <w:ind w:left="0"/>
              <w:jc w:val="left"/>
              <w:rPr>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1A75B53F">
            <w:pPr>
              <w:pStyle w:val="359"/>
              <w:spacing w:line="240" w:lineRule="atLeast"/>
              <w:ind w:left="0"/>
              <w:jc w:val="left"/>
              <w:rPr>
                <w:szCs w:val="21"/>
              </w:rPr>
            </w:pPr>
          </w:p>
        </w:tc>
      </w:tr>
      <w:tr w14:paraId="2E56F63A">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0295739F">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350B02AF">
            <w:pPr>
              <w:pStyle w:val="124"/>
              <w:spacing w:line="240" w:lineRule="atLeast"/>
              <w:ind w:left="0" w:firstLine="0" w:firstLineChars="0"/>
              <w:rPr>
                <w:sz w:val="21"/>
                <w:szCs w:val="21"/>
              </w:rPr>
            </w:pPr>
            <w:r>
              <w:rPr>
                <w:rFonts w:hint="eastAsia" w:ascii="宋体" w:hAnsi="宋体" w:cs="宋体"/>
                <w:kern w:val="0"/>
                <w:sz w:val="21"/>
                <w:szCs w:val="21"/>
                <w:lang w:bidi="ar"/>
              </w:rPr>
              <w:t>管理交换机</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65D85870">
            <w:pPr>
              <w:pStyle w:val="124"/>
              <w:spacing w:line="240" w:lineRule="atLeast"/>
              <w:ind w:left="0" w:firstLine="0" w:firstLineChars="0"/>
              <w:jc w:val="center"/>
              <w:rPr>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7D368DDE">
            <w:pPr>
              <w:pStyle w:val="124"/>
              <w:spacing w:line="240" w:lineRule="atLeast"/>
              <w:ind w:left="0" w:firstLine="0" w:firstLineChars="0"/>
              <w:jc w:val="center"/>
              <w:rPr>
                <w:sz w:val="21"/>
                <w:szCs w:val="21"/>
              </w:rPr>
            </w:pPr>
            <w:r>
              <w:rPr>
                <w:rFonts w:hint="eastAsia"/>
                <w:sz w:val="21"/>
                <w:szCs w:val="21"/>
              </w:rPr>
              <w:t>1</w:t>
            </w:r>
          </w:p>
        </w:tc>
        <w:tc>
          <w:tcPr>
            <w:tcW w:w="1416" w:type="dxa"/>
            <w:tcBorders>
              <w:top w:val="single" w:color="auto" w:sz="4" w:space="0"/>
              <w:left w:val="nil"/>
              <w:bottom w:val="single" w:color="auto" w:sz="4" w:space="0"/>
              <w:right w:val="single" w:color="auto" w:sz="4" w:space="0"/>
            </w:tcBorders>
            <w:vAlign w:val="center"/>
          </w:tcPr>
          <w:p w14:paraId="7C6084E8">
            <w:pPr>
              <w:spacing w:line="240" w:lineRule="atLeast"/>
              <w:ind w:left="0" w:firstLine="0"/>
              <w:rPr>
                <w:rFonts w:ascii="宋体" w:hAnsi="宋体"/>
                <w:kern w:val="0"/>
                <w:sz w:val="21"/>
                <w:szCs w:val="21"/>
              </w:rPr>
            </w:pPr>
            <w:r>
              <w:rPr>
                <w:rFonts w:hint="eastAsia" w:ascii="宋体" w:hAnsi="宋体"/>
                <w:kern w:val="0"/>
                <w:sz w:val="21"/>
                <w:szCs w:val="21"/>
                <w:lang w:val="en-US" w:eastAsia="zh-CN"/>
              </w:rPr>
              <w:t>现有</w:t>
            </w:r>
            <w:r>
              <w:rPr>
                <w:rFonts w:hint="eastAsia" w:ascii="宋体" w:hAnsi="宋体"/>
                <w:kern w:val="0"/>
                <w:sz w:val="21"/>
                <w:szCs w:val="21"/>
              </w:rPr>
              <w:t>数据中心机</w:t>
            </w:r>
            <w:r>
              <w:rPr>
                <w:rFonts w:ascii="宋体" w:hAnsi="宋体"/>
                <w:kern w:val="0"/>
                <w:sz w:val="21"/>
                <w:szCs w:val="21"/>
              </w:rPr>
              <w:t>内</w:t>
            </w:r>
          </w:p>
        </w:tc>
        <w:tc>
          <w:tcPr>
            <w:tcW w:w="1596" w:type="dxa"/>
            <w:tcBorders>
              <w:top w:val="single" w:color="auto" w:sz="4" w:space="0"/>
              <w:left w:val="nil"/>
              <w:bottom w:val="single" w:color="auto" w:sz="4" w:space="0"/>
              <w:right w:val="single" w:color="auto" w:sz="4" w:space="0"/>
            </w:tcBorders>
            <w:shd w:val="clear" w:color="auto" w:fill="auto"/>
            <w:vAlign w:val="center"/>
          </w:tcPr>
          <w:p w14:paraId="54E94424">
            <w:pPr>
              <w:pStyle w:val="359"/>
              <w:spacing w:line="240" w:lineRule="atLeast"/>
              <w:ind w:left="0"/>
              <w:jc w:val="left"/>
              <w:rPr>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2B311599">
            <w:pPr>
              <w:pStyle w:val="359"/>
              <w:spacing w:line="240" w:lineRule="atLeast"/>
              <w:ind w:left="0"/>
              <w:jc w:val="left"/>
              <w:rPr>
                <w:szCs w:val="21"/>
              </w:rPr>
            </w:pPr>
          </w:p>
        </w:tc>
      </w:tr>
      <w:tr w14:paraId="1BEAF415">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6B22CEEB">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2744389">
            <w:pPr>
              <w:pStyle w:val="124"/>
              <w:spacing w:line="240" w:lineRule="atLeast"/>
              <w:ind w:left="0" w:firstLine="0" w:firstLineChars="0"/>
              <w:rPr>
                <w:rFonts w:ascii="宋体" w:hAnsi="宋体" w:cs="宋体"/>
                <w:kern w:val="0"/>
                <w:sz w:val="21"/>
                <w:szCs w:val="21"/>
                <w:lang w:bidi="ar"/>
              </w:rPr>
            </w:pPr>
            <w:r>
              <w:rPr>
                <w:rFonts w:hint="eastAsia" w:ascii="宋体" w:hAnsi="宋体" w:cs="宋体"/>
                <w:kern w:val="0"/>
                <w:sz w:val="21"/>
                <w:szCs w:val="21"/>
                <w:lang w:eastAsia="zh-CN" w:bidi="ar"/>
              </w:rPr>
              <w:t>管理云平台</w:t>
            </w:r>
            <w:r>
              <w:rPr>
                <w:rFonts w:hint="eastAsia" w:ascii="宋体" w:hAnsi="宋体" w:cs="宋体"/>
                <w:kern w:val="0"/>
                <w:sz w:val="21"/>
                <w:szCs w:val="21"/>
                <w:lang w:bidi="ar"/>
              </w:rPr>
              <w:t>软件（含虚机授权）</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44027CD7">
            <w:pPr>
              <w:pStyle w:val="124"/>
              <w:spacing w:line="240" w:lineRule="atLeast"/>
              <w:ind w:left="0" w:firstLine="0" w:firstLineChars="0"/>
              <w:jc w:val="center"/>
              <w:rPr>
                <w:rFonts w:ascii="宋体"/>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1C911E19">
            <w:pPr>
              <w:pStyle w:val="124"/>
              <w:spacing w:line="240" w:lineRule="atLeast"/>
              <w:ind w:left="0" w:firstLine="0" w:firstLineChars="0"/>
              <w:jc w:val="center"/>
              <w:rPr>
                <w:sz w:val="21"/>
                <w:szCs w:val="21"/>
              </w:rPr>
            </w:pPr>
            <w:r>
              <w:rPr>
                <w:rFonts w:hint="eastAsia"/>
                <w:sz w:val="21"/>
                <w:szCs w:val="21"/>
              </w:rPr>
              <w:t>1</w:t>
            </w:r>
          </w:p>
        </w:tc>
        <w:tc>
          <w:tcPr>
            <w:tcW w:w="1416" w:type="dxa"/>
            <w:tcBorders>
              <w:top w:val="single" w:color="auto" w:sz="4" w:space="0"/>
              <w:left w:val="nil"/>
              <w:bottom w:val="single" w:color="auto" w:sz="4" w:space="0"/>
              <w:right w:val="single" w:color="auto" w:sz="4" w:space="0"/>
            </w:tcBorders>
            <w:vAlign w:val="center"/>
          </w:tcPr>
          <w:p w14:paraId="626E09C0">
            <w:pPr>
              <w:spacing w:line="240" w:lineRule="atLeast"/>
              <w:ind w:left="0" w:firstLine="0"/>
              <w:rPr>
                <w:rFonts w:hint="default" w:ascii="宋体" w:hAnsi="宋体" w:eastAsia="宋体"/>
                <w:kern w:val="0"/>
                <w:sz w:val="21"/>
                <w:szCs w:val="21"/>
                <w:lang w:val="en-US" w:eastAsia="zh-CN"/>
              </w:rPr>
            </w:pPr>
            <w:r>
              <w:rPr>
                <w:rFonts w:hint="eastAsia" w:ascii="宋体" w:hAnsi="宋体"/>
                <w:kern w:val="0"/>
                <w:sz w:val="21"/>
                <w:szCs w:val="21"/>
                <w:lang w:val="en-US" w:eastAsia="zh-CN"/>
              </w:rPr>
              <w:t>本次采购服务器上</w:t>
            </w:r>
          </w:p>
        </w:tc>
        <w:tc>
          <w:tcPr>
            <w:tcW w:w="1596" w:type="dxa"/>
            <w:tcBorders>
              <w:top w:val="single" w:color="auto" w:sz="4" w:space="0"/>
              <w:left w:val="nil"/>
              <w:bottom w:val="single" w:color="auto" w:sz="4" w:space="0"/>
              <w:right w:val="single" w:color="auto" w:sz="4" w:space="0"/>
            </w:tcBorders>
            <w:shd w:val="clear" w:color="auto" w:fill="auto"/>
            <w:vAlign w:val="center"/>
          </w:tcPr>
          <w:p w14:paraId="0E34B115">
            <w:pPr>
              <w:pStyle w:val="359"/>
              <w:spacing w:line="240" w:lineRule="atLeast"/>
              <w:ind w:left="0"/>
              <w:jc w:val="left"/>
              <w:rPr>
                <w:szCs w:val="21"/>
              </w:rPr>
            </w:pPr>
            <w:r>
              <w:rPr>
                <w:rFonts w:hint="eastAsia"/>
                <w:szCs w:val="21"/>
              </w:rPr>
              <w:t>配置≥50颗物理CPU软件授权；详见《专用技术要求》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29F22199">
            <w:pPr>
              <w:pStyle w:val="359"/>
              <w:spacing w:line="240" w:lineRule="atLeast"/>
              <w:ind w:left="0"/>
              <w:jc w:val="left"/>
              <w:rPr>
                <w:szCs w:val="21"/>
              </w:rPr>
            </w:pPr>
            <w:r>
              <w:rPr>
                <w:rFonts w:hint="eastAsia"/>
                <w:szCs w:val="21"/>
              </w:rPr>
              <w:t>满足信创要求</w:t>
            </w:r>
          </w:p>
        </w:tc>
      </w:tr>
      <w:tr w14:paraId="65289224">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117905A3">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2136ED6C">
            <w:pPr>
              <w:pStyle w:val="124"/>
              <w:spacing w:line="240" w:lineRule="atLeast"/>
              <w:ind w:left="0" w:firstLine="0" w:firstLineChars="0"/>
              <w:rPr>
                <w:rFonts w:ascii="宋体" w:hAnsi="宋体" w:cs="宋体"/>
                <w:kern w:val="0"/>
                <w:sz w:val="21"/>
                <w:szCs w:val="21"/>
                <w:lang w:bidi="ar"/>
              </w:rPr>
            </w:pPr>
            <w:r>
              <w:rPr>
                <w:rFonts w:hint="eastAsia" w:ascii="宋体" w:hAnsi="宋体"/>
                <w:sz w:val="21"/>
                <w:szCs w:val="21"/>
              </w:rPr>
              <w:t>数据库管理软件</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5B370FAF">
            <w:pPr>
              <w:pStyle w:val="124"/>
              <w:spacing w:line="240" w:lineRule="atLeast"/>
              <w:ind w:left="0" w:firstLine="0" w:firstLineChars="0"/>
              <w:jc w:val="center"/>
              <w:rPr>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020CA879">
            <w:pPr>
              <w:pStyle w:val="124"/>
              <w:spacing w:line="240" w:lineRule="atLeast"/>
              <w:ind w:left="0" w:firstLine="0" w:firstLineChars="0"/>
              <w:jc w:val="center"/>
              <w:rPr>
                <w:sz w:val="21"/>
                <w:szCs w:val="21"/>
              </w:rPr>
            </w:pPr>
            <w:r>
              <w:rPr>
                <w:rFonts w:hint="eastAsia"/>
                <w:sz w:val="21"/>
                <w:szCs w:val="21"/>
              </w:rPr>
              <w:t>1</w:t>
            </w:r>
          </w:p>
        </w:tc>
        <w:tc>
          <w:tcPr>
            <w:tcW w:w="1416" w:type="dxa"/>
            <w:tcBorders>
              <w:top w:val="single" w:color="auto" w:sz="4" w:space="0"/>
              <w:left w:val="nil"/>
              <w:bottom w:val="single" w:color="auto" w:sz="4" w:space="0"/>
              <w:right w:val="single" w:color="auto" w:sz="4" w:space="0"/>
            </w:tcBorders>
            <w:vAlign w:val="center"/>
          </w:tcPr>
          <w:p w14:paraId="6FAC92D2">
            <w:pPr>
              <w:spacing w:line="240" w:lineRule="atLeast"/>
              <w:ind w:left="0" w:firstLine="0"/>
              <w:rPr>
                <w:rFonts w:ascii="宋体" w:hAnsi="宋体"/>
                <w:kern w:val="0"/>
                <w:sz w:val="21"/>
                <w:szCs w:val="21"/>
              </w:rPr>
            </w:pPr>
          </w:p>
        </w:tc>
        <w:tc>
          <w:tcPr>
            <w:tcW w:w="1596" w:type="dxa"/>
            <w:tcBorders>
              <w:top w:val="single" w:color="auto" w:sz="4" w:space="0"/>
              <w:left w:val="nil"/>
              <w:bottom w:val="single" w:color="auto" w:sz="4" w:space="0"/>
              <w:right w:val="single" w:color="auto" w:sz="4" w:space="0"/>
            </w:tcBorders>
            <w:shd w:val="clear" w:color="auto" w:fill="auto"/>
            <w:vAlign w:val="center"/>
          </w:tcPr>
          <w:p w14:paraId="56C817E2">
            <w:pPr>
              <w:pStyle w:val="359"/>
              <w:spacing w:line="240" w:lineRule="atLeast"/>
              <w:ind w:left="0"/>
              <w:jc w:val="left"/>
              <w:rPr>
                <w:szCs w:val="21"/>
              </w:rPr>
            </w:pPr>
            <w:r>
              <w:rPr>
                <w:rFonts w:hint="eastAsia"/>
                <w:szCs w:val="21"/>
              </w:rPr>
              <w:t>详见《专用技术要求》</w:t>
            </w:r>
            <w:r>
              <w:rPr>
                <w:rFonts w:hint="eastAsia" w:ascii="宋体"/>
                <w:kern w:val="0"/>
                <w:szCs w:val="21"/>
              </w:rPr>
              <w:t>相关要求</w:t>
            </w: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6AC7666A">
            <w:pPr>
              <w:spacing w:line="240" w:lineRule="atLeast"/>
              <w:ind w:left="0" w:firstLine="0"/>
              <w:rPr>
                <w:rFonts w:ascii="宋体" w:hAnsi="宋体"/>
                <w:spacing w:val="1"/>
                <w:kern w:val="0"/>
                <w:sz w:val="21"/>
                <w:szCs w:val="21"/>
              </w:rPr>
            </w:pPr>
            <w:r>
              <w:rPr>
                <w:rFonts w:hint="eastAsia"/>
                <w:sz w:val="21"/>
                <w:szCs w:val="21"/>
              </w:rPr>
              <w:t>满足信创要求</w:t>
            </w:r>
          </w:p>
        </w:tc>
      </w:tr>
      <w:tr w14:paraId="6756DA95">
        <w:tblPrEx>
          <w:tblCellMar>
            <w:top w:w="0" w:type="dxa"/>
            <w:left w:w="108" w:type="dxa"/>
            <w:bottom w:w="0" w:type="dxa"/>
            <w:right w:w="108" w:type="dxa"/>
          </w:tblCellMar>
        </w:tblPrEx>
        <w:trPr>
          <w:trHeight w:val="1104" w:hRule="atLeast"/>
          <w:jc w:val="center"/>
        </w:trPr>
        <w:tc>
          <w:tcPr>
            <w:tcW w:w="634"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080F23DC">
            <w:pPr>
              <w:pStyle w:val="124"/>
              <w:numPr>
                <w:ilvl w:val="0"/>
                <w:numId w:val="31"/>
              </w:numPr>
              <w:spacing w:line="240" w:lineRule="atLeast"/>
              <w:ind w:left="0" w:firstLine="0" w:firstLineChars="0"/>
              <w:jc w:val="center"/>
              <w:rPr>
                <w:rFonts w:ascii="宋体" w:hAnsi="宋体"/>
                <w:kern w:val="0"/>
                <w:sz w:val="21"/>
                <w:szCs w:val="21"/>
              </w:rPr>
            </w:pPr>
          </w:p>
        </w:tc>
        <w:tc>
          <w:tcPr>
            <w:tcW w:w="2091"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46CA346">
            <w:pPr>
              <w:pStyle w:val="124"/>
              <w:spacing w:line="240" w:lineRule="atLeast"/>
              <w:ind w:left="0" w:firstLine="0" w:firstLineChars="0"/>
              <w:rPr>
                <w:rFonts w:ascii="宋体" w:hAnsi="宋体" w:cs="宋体"/>
                <w:kern w:val="0"/>
                <w:sz w:val="21"/>
                <w:szCs w:val="21"/>
                <w:lang w:bidi="ar"/>
              </w:rPr>
            </w:pPr>
            <w:r>
              <w:rPr>
                <w:rFonts w:hint="eastAsia" w:ascii="宋体" w:hAnsi="宋体"/>
                <w:kern w:val="0"/>
                <w:sz w:val="21"/>
                <w:szCs w:val="21"/>
              </w:rPr>
              <w:t>设备内部配线</w:t>
            </w:r>
          </w:p>
        </w:tc>
        <w:tc>
          <w:tcPr>
            <w:tcW w:w="744" w:type="dxa"/>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14:paraId="7C32DD21">
            <w:pPr>
              <w:pStyle w:val="124"/>
              <w:spacing w:line="240" w:lineRule="atLeast"/>
              <w:ind w:left="0" w:firstLine="0" w:firstLineChars="0"/>
              <w:jc w:val="center"/>
              <w:rPr>
                <w:rFonts w:ascii="宋体"/>
                <w:sz w:val="21"/>
                <w:szCs w:val="21"/>
              </w:rPr>
            </w:pPr>
            <w:r>
              <w:rPr>
                <w:rFonts w:hint="eastAsia" w:ascii="宋体"/>
                <w:sz w:val="21"/>
                <w:szCs w:val="21"/>
              </w:rPr>
              <w:t>套</w:t>
            </w:r>
          </w:p>
        </w:tc>
        <w:tc>
          <w:tcPr>
            <w:tcW w:w="708" w:type="dxa"/>
            <w:tcBorders>
              <w:top w:val="single" w:color="auto" w:sz="4" w:space="0"/>
              <w:left w:val="nil"/>
              <w:bottom w:val="single" w:color="auto" w:sz="4" w:space="0"/>
              <w:right w:val="single" w:color="auto" w:sz="4" w:space="0"/>
            </w:tcBorders>
            <w:shd w:val="clear" w:color="auto" w:fill="auto"/>
            <w:tcMar>
              <w:left w:w="28" w:type="dxa"/>
              <w:right w:w="28" w:type="dxa"/>
            </w:tcMar>
            <w:vAlign w:val="center"/>
          </w:tcPr>
          <w:p w14:paraId="20EC2A58">
            <w:pPr>
              <w:pStyle w:val="124"/>
              <w:spacing w:line="240" w:lineRule="atLeast"/>
              <w:ind w:left="0" w:firstLine="0" w:firstLineChars="0"/>
              <w:jc w:val="center"/>
              <w:rPr>
                <w:sz w:val="21"/>
                <w:szCs w:val="21"/>
              </w:rPr>
            </w:pPr>
            <w:r>
              <w:rPr>
                <w:rFonts w:hint="eastAsia"/>
                <w:sz w:val="21"/>
                <w:szCs w:val="21"/>
              </w:rPr>
              <w:t>1</w:t>
            </w:r>
          </w:p>
        </w:tc>
        <w:tc>
          <w:tcPr>
            <w:tcW w:w="1416" w:type="dxa"/>
            <w:tcBorders>
              <w:top w:val="single" w:color="auto" w:sz="4" w:space="0"/>
              <w:left w:val="nil"/>
              <w:bottom w:val="single" w:color="auto" w:sz="4" w:space="0"/>
              <w:right w:val="single" w:color="auto" w:sz="4" w:space="0"/>
            </w:tcBorders>
            <w:vAlign w:val="center"/>
          </w:tcPr>
          <w:p w14:paraId="1EE1A302">
            <w:pPr>
              <w:spacing w:line="240" w:lineRule="atLeast"/>
              <w:ind w:left="0" w:firstLine="0"/>
              <w:rPr>
                <w:rFonts w:ascii="宋体" w:hAnsi="宋体"/>
                <w:kern w:val="0"/>
                <w:sz w:val="21"/>
                <w:szCs w:val="21"/>
              </w:rPr>
            </w:pPr>
          </w:p>
        </w:tc>
        <w:tc>
          <w:tcPr>
            <w:tcW w:w="1596" w:type="dxa"/>
            <w:tcBorders>
              <w:top w:val="single" w:color="auto" w:sz="4" w:space="0"/>
              <w:left w:val="nil"/>
              <w:bottom w:val="single" w:color="auto" w:sz="4" w:space="0"/>
              <w:right w:val="single" w:color="auto" w:sz="4" w:space="0"/>
            </w:tcBorders>
            <w:shd w:val="clear" w:color="auto" w:fill="auto"/>
            <w:vAlign w:val="center"/>
          </w:tcPr>
          <w:p w14:paraId="157E1704">
            <w:pPr>
              <w:pStyle w:val="359"/>
              <w:spacing w:line="240" w:lineRule="atLeast"/>
              <w:ind w:left="0"/>
              <w:jc w:val="left"/>
              <w:rPr>
                <w:szCs w:val="21"/>
              </w:rPr>
            </w:pPr>
          </w:p>
        </w:tc>
        <w:tc>
          <w:tcPr>
            <w:tcW w:w="1368" w:type="dxa"/>
            <w:tcBorders>
              <w:top w:val="nil"/>
              <w:left w:val="single" w:color="auto" w:sz="4" w:space="0"/>
              <w:bottom w:val="single" w:color="auto" w:sz="4" w:space="0"/>
              <w:right w:val="single" w:color="auto" w:sz="4" w:space="0"/>
            </w:tcBorders>
            <w:shd w:val="clear" w:color="auto" w:fill="auto"/>
            <w:tcMar>
              <w:left w:w="28" w:type="dxa"/>
              <w:right w:w="28" w:type="dxa"/>
            </w:tcMar>
            <w:vAlign w:val="center"/>
          </w:tcPr>
          <w:p w14:paraId="29BBA125">
            <w:pPr>
              <w:pStyle w:val="359"/>
              <w:spacing w:line="240" w:lineRule="atLeast"/>
              <w:ind w:left="0"/>
              <w:jc w:val="left"/>
              <w:rPr>
                <w:szCs w:val="21"/>
              </w:rPr>
            </w:pPr>
            <w:r>
              <w:rPr>
                <w:rFonts w:hint="eastAsia"/>
                <w:szCs w:val="21"/>
              </w:rPr>
              <w:t>尾纤、数据线、光纤跳线、电源线、接地线等，含接头，数量需满足工程使用要求。</w:t>
            </w:r>
          </w:p>
        </w:tc>
      </w:tr>
      <w:bookmarkEnd w:id="255"/>
      <w:bookmarkEnd w:id="256"/>
      <w:bookmarkEnd w:id="257"/>
      <w:bookmarkEnd w:id="258"/>
      <w:bookmarkEnd w:id="259"/>
      <w:bookmarkEnd w:id="260"/>
    </w:tbl>
    <w:p w14:paraId="4A0AF696">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61" w:name="_Toc3360"/>
      <w:bookmarkStart w:id="262" w:name="_Toc14502"/>
      <w:r>
        <w:rPr>
          <w:rFonts w:hint="eastAsia" w:ascii="Times New Roman" w:hAnsi="Times New Roman" w:eastAsia="宋体"/>
          <w:b/>
          <w:bCs/>
          <w:sz w:val="21"/>
          <w:szCs w:val="21"/>
        </w:rPr>
        <w:t>供货</w:t>
      </w:r>
      <w:r>
        <w:rPr>
          <w:rFonts w:ascii="Times New Roman" w:hAnsi="Times New Roman" w:eastAsia="宋体"/>
          <w:b/>
          <w:bCs/>
          <w:sz w:val="21"/>
          <w:szCs w:val="21"/>
        </w:rPr>
        <w:t>要求</w:t>
      </w:r>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61"/>
      <w:bookmarkEnd w:id="262"/>
    </w:p>
    <w:p w14:paraId="54F3D880">
      <w:pPr>
        <w:pStyle w:val="4"/>
        <w:rPr>
          <w:sz w:val="21"/>
          <w:szCs w:val="21"/>
        </w:rPr>
      </w:pPr>
      <w:bookmarkStart w:id="263" w:name="_Toc25211"/>
      <w:bookmarkStart w:id="264" w:name="_Toc23487"/>
      <w:r>
        <w:rPr>
          <w:rFonts w:hint="eastAsia"/>
          <w:sz w:val="21"/>
          <w:szCs w:val="21"/>
        </w:rPr>
        <w:t>基本要求</w:t>
      </w:r>
      <w:bookmarkEnd w:id="263"/>
      <w:bookmarkEnd w:id="264"/>
    </w:p>
    <w:p w14:paraId="7C3EC0B9">
      <w:pPr>
        <w:pStyle w:val="5"/>
        <w:rPr>
          <w:color w:val="auto"/>
          <w:szCs w:val="21"/>
        </w:rPr>
      </w:pPr>
      <w:r>
        <w:rPr>
          <w:color w:val="auto"/>
          <w:szCs w:val="21"/>
        </w:rPr>
        <w:t>投标人须根据</w:t>
      </w:r>
      <w:r>
        <w:rPr>
          <w:rFonts w:hint="eastAsia"/>
          <w:color w:val="auto"/>
          <w:szCs w:val="21"/>
        </w:rPr>
        <w:t>本项目</w:t>
      </w:r>
      <w:r>
        <w:rPr>
          <w:color w:val="auto"/>
          <w:szCs w:val="21"/>
        </w:rPr>
        <w:t>的工程范围和工程现场条件，</w:t>
      </w:r>
      <w:r>
        <w:rPr>
          <w:rFonts w:hint="eastAsia"/>
          <w:color w:val="auto"/>
          <w:szCs w:val="21"/>
        </w:rPr>
        <w:t>完整</w:t>
      </w:r>
      <w:r>
        <w:rPr>
          <w:color w:val="auto"/>
          <w:szCs w:val="21"/>
        </w:rPr>
        <w:t>提供满足本招标文件要求</w:t>
      </w:r>
      <w:r>
        <w:rPr>
          <w:rFonts w:hint="eastAsia"/>
          <w:color w:val="auto"/>
          <w:szCs w:val="21"/>
        </w:rPr>
        <w:t>的</w:t>
      </w:r>
      <w:r>
        <w:rPr>
          <w:color w:val="auto"/>
          <w:szCs w:val="21"/>
        </w:rPr>
        <w:t>设备和技术服务。</w:t>
      </w:r>
    </w:p>
    <w:p w14:paraId="2717027F">
      <w:pPr>
        <w:pStyle w:val="5"/>
        <w:rPr>
          <w:color w:val="auto"/>
          <w:szCs w:val="21"/>
        </w:rPr>
      </w:pPr>
      <w:r>
        <w:rPr>
          <w:rFonts w:hint="eastAsia"/>
          <w:color w:val="auto"/>
          <w:szCs w:val="21"/>
        </w:rPr>
        <w:t>投标人应详细描述所供系统设备的规格、型号、数量、原产地、性能参数等。</w:t>
      </w:r>
    </w:p>
    <w:p w14:paraId="314F6E6A">
      <w:pPr>
        <w:pStyle w:val="5"/>
        <w:rPr>
          <w:color w:val="auto"/>
          <w:szCs w:val="21"/>
        </w:rPr>
      </w:pPr>
      <w:r>
        <w:rPr>
          <w:rFonts w:hint="eastAsia"/>
          <w:color w:val="auto"/>
          <w:szCs w:val="21"/>
        </w:rPr>
        <w:t>投标人应提供所有设备和材料的质量证明文件、原产地证明文件，进口产品还应提供报关单等证明文件。</w:t>
      </w:r>
    </w:p>
    <w:p w14:paraId="595860ED">
      <w:pPr>
        <w:pStyle w:val="4"/>
        <w:rPr>
          <w:sz w:val="21"/>
          <w:szCs w:val="21"/>
        </w:rPr>
      </w:pPr>
      <w:bookmarkStart w:id="265" w:name="_Toc4543"/>
      <w:bookmarkStart w:id="266" w:name="_Toc19202"/>
      <w:r>
        <w:rPr>
          <w:sz w:val="21"/>
          <w:szCs w:val="21"/>
        </w:rPr>
        <w:t>技术要求</w:t>
      </w:r>
      <w:bookmarkEnd w:id="265"/>
      <w:bookmarkEnd w:id="266"/>
    </w:p>
    <w:p w14:paraId="62EB1BC9">
      <w:pPr>
        <w:pStyle w:val="5"/>
        <w:rPr>
          <w:color w:val="auto"/>
          <w:szCs w:val="21"/>
        </w:rPr>
      </w:pPr>
      <w:r>
        <w:rPr>
          <w:color w:val="auto"/>
          <w:szCs w:val="21"/>
        </w:rPr>
        <w:t>可靠性：在</w:t>
      </w:r>
      <w:r>
        <w:rPr>
          <w:rFonts w:hint="eastAsia"/>
          <w:color w:val="auto"/>
          <w:szCs w:val="21"/>
        </w:rPr>
        <w:t>本用户需求书专用</w:t>
      </w:r>
      <w:r>
        <w:rPr>
          <w:color w:val="auto"/>
          <w:szCs w:val="21"/>
        </w:rPr>
        <w:t>技术</w:t>
      </w:r>
      <w:r>
        <w:rPr>
          <w:rFonts w:hint="eastAsia"/>
          <w:color w:val="auto"/>
          <w:szCs w:val="21"/>
        </w:rPr>
        <w:t>要求</w:t>
      </w:r>
      <w:r>
        <w:rPr>
          <w:color w:val="auto"/>
          <w:szCs w:val="21"/>
        </w:rPr>
        <w:t>中给出。</w:t>
      </w:r>
    </w:p>
    <w:p w14:paraId="71D98975">
      <w:pPr>
        <w:pStyle w:val="5"/>
        <w:rPr>
          <w:color w:val="auto"/>
          <w:szCs w:val="21"/>
        </w:rPr>
      </w:pPr>
      <w:r>
        <w:rPr>
          <w:color w:val="auto"/>
          <w:szCs w:val="21"/>
        </w:rPr>
        <w:t>可用性：在</w:t>
      </w:r>
      <w:r>
        <w:rPr>
          <w:rFonts w:hint="eastAsia"/>
          <w:color w:val="auto"/>
          <w:szCs w:val="21"/>
        </w:rPr>
        <w:t>本用户需求书专用</w:t>
      </w:r>
      <w:r>
        <w:rPr>
          <w:color w:val="auto"/>
          <w:szCs w:val="21"/>
        </w:rPr>
        <w:t>技术</w:t>
      </w:r>
      <w:r>
        <w:rPr>
          <w:rFonts w:hint="eastAsia"/>
          <w:color w:val="auto"/>
          <w:szCs w:val="21"/>
        </w:rPr>
        <w:t>要求</w:t>
      </w:r>
      <w:r>
        <w:rPr>
          <w:color w:val="auto"/>
          <w:szCs w:val="21"/>
        </w:rPr>
        <w:t>中给出。</w:t>
      </w:r>
    </w:p>
    <w:p w14:paraId="47DD5960">
      <w:pPr>
        <w:pStyle w:val="5"/>
        <w:rPr>
          <w:color w:val="auto"/>
          <w:szCs w:val="21"/>
        </w:rPr>
      </w:pPr>
      <w:r>
        <w:rPr>
          <w:color w:val="auto"/>
          <w:szCs w:val="21"/>
        </w:rPr>
        <w:t>可维护性</w:t>
      </w:r>
    </w:p>
    <w:p w14:paraId="10DC47E6">
      <w:pPr>
        <w:widowControl/>
        <w:numPr>
          <w:ilvl w:val="0"/>
          <w:numId w:val="32"/>
        </w:numPr>
        <w:adjustRightInd w:val="0"/>
        <w:snapToGrid w:val="0"/>
        <w:jc w:val="both"/>
        <w:rPr>
          <w:sz w:val="21"/>
          <w:szCs w:val="21"/>
        </w:rPr>
      </w:pPr>
      <w:r>
        <w:rPr>
          <w:sz w:val="21"/>
          <w:szCs w:val="21"/>
        </w:rPr>
        <w:t>模块化设计，方便维修、替换</w:t>
      </w:r>
      <w:r>
        <w:rPr>
          <w:rFonts w:hint="eastAsia"/>
          <w:sz w:val="21"/>
          <w:szCs w:val="21"/>
        </w:rPr>
        <w:t>；</w:t>
      </w:r>
    </w:p>
    <w:p w14:paraId="6C307E8F">
      <w:pPr>
        <w:widowControl/>
        <w:numPr>
          <w:ilvl w:val="0"/>
          <w:numId w:val="32"/>
        </w:numPr>
        <w:adjustRightInd w:val="0"/>
        <w:snapToGrid w:val="0"/>
        <w:jc w:val="both"/>
        <w:rPr>
          <w:sz w:val="21"/>
          <w:szCs w:val="21"/>
        </w:rPr>
      </w:pPr>
      <w:r>
        <w:rPr>
          <w:sz w:val="21"/>
          <w:szCs w:val="21"/>
        </w:rPr>
        <w:t>自诊断和检测功能</w:t>
      </w:r>
      <w:r>
        <w:rPr>
          <w:rFonts w:hint="eastAsia"/>
          <w:sz w:val="21"/>
          <w:szCs w:val="21"/>
        </w:rPr>
        <w:t>；</w:t>
      </w:r>
    </w:p>
    <w:p w14:paraId="49D8E02D">
      <w:pPr>
        <w:widowControl/>
        <w:numPr>
          <w:ilvl w:val="0"/>
          <w:numId w:val="32"/>
        </w:numPr>
        <w:adjustRightInd w:val="0"/>
        <w:snapToGrid w:val="0"/>
        <w:jc w:val="both"/>
        <w:rPr>
          <w:sz w:val="21"/>
          <w:szCs w:val="21"/>
        </w:rPr>
      </w:pPr>
      <w:r>
        <w:rPr>
          <w:sz w:val="21"/>
          <w:szCs w:val="21"/>
        </w:rPr>
        <w:t>重要的故障、告警（如电源告警等）在卡、盘面上应有</w:t>
      </w:r>
      <w:r>
        <w:rPr>
          <w:rFonts w:hint="eastAsia"/>
          <w:sz w:val="21"/>
          <w:szCs w:val="21"/>
        </w:rPr>
        <w:t>可视、可听的</w:t>
      </w:r>
      <w:r>
        <w:rPr>
          <w:sz w:val="21"/>
          <w:szCs w:val="21"/>
        </w:rPr>
        <w:t>指示</w:t>
      </w:r>
      <w:r>
        <w:rPr>
          <w:rFonts w:hint="eastAsia"/>
          <w:sz w:val="21"/>
          <w:szCs w:val="21"/>
        </w:rPr>
        <w:t>，且能区分紧急告警和非紧急告警；</w:t>
      </w:r>
    </w:p>
    <w:p w14:paraId="5339C1FF">
      <w:pPr>
        <w:widowControl/>
        <w:numPr>
          <w:ilvl w:val="0"/>
          <w:numId w:val="32"/>
        </w:numPr>
        <w:adjustRightInd w:val="0"/>
        <w:snapToGrid w:val="0"/>
        <w:jc w:val="both"/>
        <w:rPr>
          <w:sz w:val="21"/>
          <w:szCs w:val="21"/>
        </w:rPr>
      </w:pPr>
      <w:r>
        <w:rPr>
          <w:sz w:val="21"/>
          <w:szCs w:val="21"/>
        </w:rPr>
        <w:t>考虑适当的测试点，方便外测试设备测试</w:t>
      </w:r>
      <w:r>
        <w:rPr>
          <w:rFonts w:hint="eastAsia"/>
          <w:sz w:val="21"/>
          <w:szCs w:val="21"/>
        </w:rPr>
        <w:t>；</w:t>
      </w:r>
    </w:p>
    <w:p w14:paraId="18B777EE">
      <w:pPr>
        <w:widowControl/>
        <w:numPr>
          <w:ilvl w:val="0"/>
          <w:numId w:val="32"/>
        </w:numPr>
        <w:adjustRightInd w:val="0"/>
        <w:snapToGrid w:val="0"/>
        <w:jc w:val="both"/>
        <w:rPr>
          <w:sz w:val="21"/>
          <w:szCs w:val="21"/>
        </w:rPr>
      </w:pPr>
      <w:r>
        <w:rPr>
          <w:sz w:val="21"/>
          <w:szCs w:val="21"/>
        </w:rPr>
        <w:t>故障隔离措施和在线维修措施，以减少停机和修复时间</w:t>
      </w:r>
      <w:r>
        <w:rPr>
          <w:rFonts w:hint="eastAsia"/>
          <w:sz w:val="21"/>
          <w:szCs w:val="21"/>
        </w:rPr>
        <w:t>；</w:t>
      </w:r>
    </w:p>
    <w:p w14:paraId="39765C97">
      <w:pPr>
        <w:widowControl/>
        <w:numPr>
          <w:ilvl w:val="0"/>
          <w:numId w:val="32"/>
        </w:numPr>
        <w:adjustRightInd w:val="0"/>
        <w:snapToGrid w:val="0"/>
        <w:jc w:val="both"/>
        <w:rPr>
          <w:sz w:val="21"/>
          <w:szCs w:val="21"/>
        </w:rPr>
      </w:pPr>
      <w:r>
        <w:rPr>
          <w:sz w:val="21"/>
          <w:szCs w:val="21"/>
        </w:rPr>
        <w:t>集中维护管理功能，在控制中心可对本系统实现集中维护管理</w:t>
      </w:r>
      <w:r>
        <w:rPr>
          <w:rFonts w:hint="eastAsia"/>
          <w:sz w:val="21"/>
          <w:szCs w:val="21"/>
        </w:rPr>
        <w:t>，含配置管理、故障管理、报表管理，系统应具有完善的操作权限管理和安全管理等功能；</w:t>
      </w:r>
    </w:p>
    <w:p w14:paraId="426BC281">
      <w:pPr>
        <w:widowControl/>
        <w:numPr>
          <w:ilvl w:val="0"/>
          <w:numId w:val="32"/>
        </w:numPr>
        <w:adjustRightInd w:val="0"/>
        <w:snapToGrid w:val="0"/>
        <w:jc w:val="both"/>
        <w:rPr>
          <w:sz w:val="21"/>
          <w:szCs w:val="21"/>
        </w:rPr>
      </w:pPr>
      <w:r>
        <w:rPr>
          <w:rFonts w:hint="eastAsia"/>
          <w:sz w:val="21"/>
          <w:szCs w:val="21"/>
        </w:rPr>
        <w:t>投标人应采取相应措施，确保在故障出现时，尽可能保持系统的功能，降低故障对系统运行的影响；</w:t>
      </w:r>
    </w:p>
    <w:p w14:paraId="1FFC17CC">
      <w:pPr>
        <w:widowControl/>
        <w:numPr>
          <w:ilvl w:val="0"/>
          <w:numId w:val="32"/>
        </w:numPr>
        <w:adjustRightInd w:val="0"/>
        <w:snapToGrid w:val="0"/>
        <w:jc w:val="both"/>
        <w:rPr>
          <w:sz w:val="21"/>
          <w:szCs w:val="21"/>
        </w:rPr>
      </w:pPr>
      <w:r>
        <w:rPr>
          <w:rFonts w:hint="eastAsia"/>
          <w:sz w:val="21"/>
          <w:szCs w:val="21"/>
        </w:rPr>
        <w:t>关键设备应支持热插拔。</w:t>
      </w:r>
    </w:p>
    <w:p w14:paraId="5547B39F">
      <w:pPr>
        <w:pStyle w:val="5"/>
        <w:rPr>
          <w:color w:val="auto"/>
          <w:szCs w:val="21"/>
        </w:rPr>
      </w:pPr>
      <w:r>
        <w:rPr>
          <w:color w:val="auto"/>
          <w:szCs w:val="21"/>
        </w:rPr>
        <w:t>可扩展性</w:t>
      </w:r>
    </w:p>
    <w:p w14:paraId="6E18261C">
      <w:pPr>
        <w:widowControl/>
        <w:numPr>
          <w:ilvl w:val="0"/>
          <w:numId w:val="32"/>
        </w:numPr>
        <w:adjustRightInd w:val="0"/>
        <w:snapToGrid w:val="0"/>
        <w:jc w:val="both"/>
        <w:rPr>
          <w:sz w:val="21"/>
          <w:szCs w:val="21"/>
        </w:rPr>
      </w:pPr>
      <w:r>
        <w:rPr>
          <w:rFonts w:hint="eastAsia"/>
          <w:sz w:val="21"/>
          <w:szCs w:val="21"/>
        </w:rPr>
        <w:t>硬件</w:t>
      </w:r>
      <w:r>
        <w:rPr>
          <w:sz w:val="21"/>
          <w:szCs w:val="21"/>
        </w:rPr>
        <w:t>设备</w:t>
      </w:r>
      <w:r>
        <w:rPr>
          <w:rFonts w:hint="eastAsia"/>
          <w:sz w:val="21"/>
          <w:szCs w:val="21"/>
        </w:rPr>
        <w:t>应</w:t>
      </w:r>
      <w:r>
        <w:rPr>
          <w:sz w:val="21"/>
          <w:szCs w:val="21"/>
        </w:rPr>
        <w:t>具有可扩展性。系统扩展</w:t>
      </w:r>
      <w:r>
        <w:rPr>
          <w:rFonts w:hint="eastAsia"/>
          <w:sz w:val="21"/>
          <w:szCs w:val="21"/>
        </w:rPr>
        <w:t>时</w:t>
      </w:r>
      <w:r>
        <w:rPr>
          <w:sz w:val="21"/>
          <w:szCs w:val="21"/>
        </w:rPr>
        <w:t>，软件基本不变，硬件只有少量的增加</w:t>
      </w:r>
      <w:r>
        <w:rPr>
          <w:rFonts w:hint="eastAsia"/>
          <w:sz w:val="21"/>
          <w:szCs w:val="21"/>
        </w:rPr>
        <w:t>，</w:t>
      </w:r>
      <w:r>
        <w:rPr>
          <w:sz w:val="21"/>
          <w:szCs w:val="21"/>
        </w:rPr>
        <w:t>应做到不影响已开通</w:t>
      </w:r>
      <w:r>
        <w:rPr>
          <w:rFonts w:hint="eastAsia"/>
          <w:sz w:val="21"/>
          <w:szCs w:val="21"/>
        </w:rPr>
        <w:t>系统</w:t>
      </w:r>
      <w:r>
        <w:rPr>
          <w:sz w:val="21"/>
          <w:szCs w:val="21"/>
        </w:rPr>
        <w:t>的正常运行。</w:t>
      </w:r>
    </w:p>
    <w:p w14:paraId="056B0CE3">
      <w:pPr>
        <w:widowControl/>
        <w:numPr>
          <w:ilvl w:val="0"/>
          <w:numId w:val="32"/>
        </w:numPr>
        <w:adjustRightInd w:val="0"/>
        <w:snapToGrid w:val="0"/>
        <w:jc w:val="both"/>
        <w:rPr>
          <w:sz w:val="21"/>
          <w:szCs w:val="21"/>
        </w:rPr>
      </w:pPr>
      <w:r>
        <w:rPr>
          <w:rFonts w:hint="eastAsia"/>
          <w:sz w:val="21"/>
          <w:szCs w:val="21"/>
        </w:rPr>
        <w:t>软件平台应具备可升级性。软件版本升级时，应做到不影响已开通系统的正常运行。</w:t>
      </w:r>
    </w:p>
    <w:p w14:paraId="62A13F18">
      <w:pPr>
        <w:pStyle w:val="5"/>
        <w:rPr>
          <w:color w:val="auto"/>
          <w:szCs w:val="21"/>
        </w:rPr>
      </w:pPr>
      <w:r>
        <w:rPr>
          <w:color w:val="auto"/>
          <w:szCs w:val="21"/>
        </w:rPr>
        <w:t>制造工艺</w:t>
      </w:r>
    </w:p>
    <w:p w14:paraId="12D65DCE">
      <w:pPr>
        <w:widowControl/>
        <w:numPr>
          <w:ilvl w:val="0"/>
          <w:numId w:val="33"/>
        </w:numPr>
        <w:adjustRightInd w:val="0"/>
        <w:snapToGrid w:val="0"/>
        <w:jc w:val="both"/>
        <w:rPr>
          <w:sz w:val="21"/>
          <w:szCs w:val="21"/>
        </w:rPr>
      </w:pPr>
      <w:r>
        <w:rPr>
          <w:sz w:val="21"/>
          <w:szCs w:val="21"/>
        </w:rPr>
        <w:t>印刷电路板采用波峰焊以上技术</w:t>
      </w:r>
      <w:r>
        <w:rPr>
          <w:rFonts w:hint="eastAsia"/>
          <w:sz w:val="21"/>
          <w:szCs w:val="21"/>
        </w:rPr>
        <w:t>，板卡上不能有飞线、剪线等现象</w:t>
      </w:r>
      <w:r>
        <w:rPr>
          <w:sz w:val="21"/>
          <w:szCs w:val="21"/>
        </w:rPr>
        <w:t>。其中交换机电路板要采用SMT技术；</w:t>
      </w:r>
    </w:p>
    <w:p w14:paraId="16E5143E">
      <w:pPr>
        <w:widowControl/>
        <w:numPr>
          <w:ilvl w:val="0"/>
          <w:numId w:val="33"/>
        </w:numPr>
        <w:adjustRightInd w:val="0"/>
        <w:snapToGrid w:val="0"/>
        <w:jc w:val="both"/>
        <w:rPr>
          <w:sz w:val="21"/>
          <w:szCs w:val="21"/>
        </w:rPr>
      </w:pPr>
      <w:r>
        <w:rPr>
          <w:sz w:val="21"/>
          <w:szCs w:val="21"/>
        </w:rPr>
        <w:t>大电流插件采用镀银或镀金技术；</w:t>
      </w:r>
    </w:p>
    <w:p w14:paraId="6F767FC9">
      <w:pPr>
        <w:widowControl/>
        <w:numPr>
          <w:ilvl w:val="0"/>
          <w:numId w:val="33"/>
        </w:numPr>
        <w:adjustRightInd w:val="0"/>
        <w:snapToGrid w:val="0"/>
        <w:jc w:val="both"/>
        <w:rPr>
          <w:sz w:val="21"/>
          <w:szCs w:val="21"/>
        </w:rPr>
      </w:pPr>
      <w:r>
        <w:rPr>
          <w:sz w:val="21"/>
          <w:szCs w:val="21"/>
        </w:rPr>
        <w:t>每块印刷电路板都应具有防护涂层，以防止因潮气</w:t>
      </w:r>
      <w:r>
        <w:rPr>
          <w:rFonts w:hint="eastAsia"/>
          <w:sz w:val="21"/>
          <w:szCs w:val="21"/>
        </w:rPr>
        <w:t>/盐雾</w:t>
      </w:r>
      <w:r>
        <w:rPr>
          <w:sz w:val="21"/>
          <w:szCs w:val="21"/>
        </w:rPr>
        <w:t>或其他腐蚀环境</w:t>
      </w:r>
      <w:r>
        <w:rPr>
          <w:rFonts w:hint="eastAsia"/>
          <w:sz w:val="21"/>
          <w:szCs w:val="21"/>
        </w:rPr>
        <w:t>和灰尘</w:t>
      </w:r>
      <w:r>
        <w:rPr>
          <w:sz w:val="21"/>
          <w:szCs w:val="21"/>
        </w:rPr>
        <w:t>引起的</w:t>
      </w:r>
      <w:r>
        <w:rPr>
          <w:rFonts w:hint="eastAsia"/>
          <w:sz w:val="21"/>
          <w:szCs w:val="21"/>
        </w:rPr>
        <w:t>发霉、</w:t>
      </w:r>
      <w:r>
        <w:rPr>
          <w:sz w:val="21"/>
          <w:szCs w:val="21"/>
        </w:rPr>
        <w:t>开裂、生锈、变质；</w:t>
      </w:r>
    </w:p>
    <w:p w14:paraId="0C81AF35">
      <w:pPr>
        <w:widowControl/>
        <w:numPr>
          <w:ilvl w:val="0"/>
          <w:numId w:val="33"/>
        </w:numPr>
        <w:adjustRightInd w:val="0"/>
        <w:snapToGrid w:val="0"/>
        <w:jc w:val="both"/>
        <w:rPr>
          <w:sz w:val="21"/>
          <w:szCs w:val="21"/>
        </w:rPr>
      </w:pPr>
      <w:r>
        <w:rPr>
          <w:rFonts w:hint="eastAsia"/>
          <w:sz w:val="21"/>
          <w:szCs w:val="21"/>
        </w:rPr>
        <w:t>所有设备都应具备短路保护功能；</w:t>
      </w:r>
    </w:p>
    <w:p w14:paraId="4CE43CE8">
      <w:pPr>
        <w:widowControl/>
        <w:numPr>
          <w:ilvl w:val="0"/>
          <w:numId w:val="33"/>
        </w:numPr>
        <w:adjustRightInd w:val="0"/>
        <w:snapToGrid w:val="0"/>
        <w:jc w:val="both"/>
        <w:rPr>
          <w:sz w:val="21"/>
          <w:szCs w:val="21"/>
        </w:rPr>
      </w:pPr>
      <w:r>
        <w:rPr>
          <w:sz w:val="21"/>
          <w:szCs w:val="21"/>
        </w:rPr>
        <w:t>零部件的布置、固定和排列应使检查、拆除和更换时不影响或损坏连线上的其他零部件；</w:t>
      </w:r>
    </w:p>
    <w:p w14:paraId="2F1F70B3">
      <w:pPr>
        <w:widowControl/>
        <w:numPr>
          <w:ilvl w:val="0"/>
          <w:numId w:val="33"/>
        </w:numPr>
        <w:adjustRightInd w:val="0"/>
        <w:snapToGrid w:val="0"/>
        <w:jc w:val="both"/>
        <w:rPr>
          <w:sz w:val="21"/>
          <w:szCs w:val="21"/>
        </w:rPr>
      </w:pPr>
      <w:r>
        <w:rPr>
          <w:rFonts w:hint="eastAsia"/>
          <w:sz w:val="21"/>
          <w:szCs w:val="21"/>
        </w:rPr>
        <w:t>各类元器件应特别注意下述过程的整洁和精细：锡焊、配线、零部件铭牌、电镀、喷涂、铆接、机械化装配、电焊气焊，以及零部件的倒角和去毛刺。</w:t>
      </w:r>
    </w:p>
    <w:p w14:paraId="4DEC808A">
      <w:pPr>
        <w:widowControl/>
        <w:numPr>
          <w:ilvl w:val="0"/>
          <w:numId w:val="33"/>
        </w:numPr>
        <w:adjustRightInd w:val="0"/>
        <w:snapToGrid w:val="0"/>
        <w:jc w:val="both"/>
        <w:rPr>
          <w:sz w:val="21"/>
          <w:szCs w:val="21"/>
        </w:rPr>
      </w:pPr>
      <w:r>
        <w:rPr>
          <w:sz w:val="21"/>
          <w:szCs w:val="21"/>
        </w:rPr>
        <w:t>所有批量生产的设备、零部件、元器件都是标准产品，相同规格的设备、卡、盘、零件必须是可互换的；</w:t>
      </w:r>
    </w:p>
    <w:p w14:paraId="0B2EC39F">
      <w:pPr>
        <w:widowControl/>
        <w:numPr>
          <w:ilvl w:val="0"/>
          <w:numId w:val="33"/>
        </w:numPr>
        <w:adjustRightInd w:val="0"/>
        <w:snapToGrid w:val="0"/>
        <w:jc w:val="both"/>
        <w:rPr>
          <w:sz w:val="21"/>
          <w:szCs w:val="21"/>
        </w:rPr>
      </w:pPr>
      <w:r>
        <w:rPr>
          <w:sz w:val="21"/>
          <w:szCs w:val="21"/>
        </w:rPr>
        <w:t>所选设备应实现组成模块化、标准化、维护管理自动化；</w:t>
      </w:r>
    </w:p>
    <w:p w14:paraId="4D934CAD">
      <w:pPr>
        <w:widowControl/>
        <w:numPr>
          <w:ilvl w:val="0"/>
          <w:numId w:val="33"/>
        </w:numPr>
        <w:adjustRightInd w:val="0"/>
        <w:snapToGrid w:val="0"/>
        <w:jc w:val="both"/>
        <w:rPr>
          <w:sz w:val="21"/>
          <w:szCs w:val="21"/>
        </w:rPr>
      </w:pPr>
      <w:r>
        <w:rPr>
          <w:sz w:val="21"/>
          <w:szCs w:val="21"/>
        </w:rPr>
        <w:t>设备和仪器的金属构件表面除了加工装配面和电镀表面以外，都应进行防锈或喷涂处理。在装配前，对封闭结构的内表面也有必要喷涂或进行防锈处理，处理质量应符合SSPC标准</w:t>
      </w:r>
      <w:r>
        <w:rPr>
          <w:rFonts w:hint="eastAsia"/>
          <w:sz w:val="21"/>
          <w:szCs w:val="21"/>
        </w:rPr>
        <w:t>；</w:t>
      </w:r>
    </w:p>
    <w:p w14:paraId="3BC8F480">
      <w:pPr>
        <w:widowControl/>
        <w:numPr>
          <w:ilvl w:val="0"/>
          <w:numId w:val="33"/>
        </w:numPr>
        <w:adjustRightInd w:val="0"/>
        <w:snapToGrid w:val="0"/>
        <w:jc w:val="both"/>
        <w:rPr>
          <w:sz w:val="21"/>
          <w:szCs w:val="21"/>
        </w:rPr>
      </w:pPr>
      <w:r>
        <w:rPr>
          <w:sz w:val="21"/>
          <w:szCs w:val="21"/>
        </w:rPr>
        <w:t>投标人提供的设备（包括但不限于设备机柜、室外箱体、电话等）及安装材料（包括但不限于吊杆、卡具等）须</w:t>
      </w:r>
      <w:r>
        <w:rPr>
          <w:rFonts w:hint="eastAsia"/>
          <w:sz w:val="21"/>
          <w:szCs w:val="21"/>
        </w:rPr>
        <w:t>满足</w:t>
      </w:r>
      <w:r>
        <w:rPr>
          <w:rFonts w:hint="eastAsia"/>
          <w:sz w:val="21"/>
          <w:szCs w:val="21"/>
          <w:lang w:val="en-US" w:eastAsia="zh-CN"/>
        </w:rPr>
        <w:t>招标人要求的</w:t>
      </w:r>
      <w:r>
        <w:rPr>
          <w:sz w:val="21"/>
          <w:szCs w:val="21"/>
        </w:rPr>
        <w:t>使用环境，</w:t>
      </w:r>
      <w:r>
        <w:rPr>
          <w:rFonts w:hint="eastAsia"/>
          <w:sz w:val="21"/>
          <w:szCs w:val="21"/>
        </w:rPr>
        <w:t>投标人应针对每种设备和安装材料的防潮防锈蚀等措施做出说明。</w:t>
      </w:r>
    </w:p>
    <w:p w14:paraId="7CB64DB7">
      <w:pPr>
        <w:pStyle w:val="5"/>
        <w:rPr>
          <w:color w:val="auto"/>
          <w:szCs w:val="21"/>
        </w:rPr>
      </w:pPr>
      <w:r>
        <w:rPr>
          <w:rFonts w:hint="eastAsia"/>
          <w:color w:val="auto"/>
          <w:szCs w:val="21"/>
        </w:rPr>
        <w:t>防雷及接地</w:t>
      </w:r>
    </w:p>
    <w:p w14:paraId="00EB3542">
      <w:pPr>
        <w:pStyle w:val="1221"/>
        <w:jc w:val="both"/>
        <w:rPr>
          <w:szCs w:val="21"/>
        </w:rPr>
      </w:pPr>
      <w:r>
        <w:rPr>
          <w:rFonts w:hint="eastAsia"/>
          <w:szCs w:val="21"/>
        </w:rPr>
        <w:t>投标人应根据南宁市的雷电灾害情况对雷电感应过电压进行防护，根据设备的冲击耐压水平采取相应的雷电防护措施。防雷元器件不应影响被防护设备的正常工作，被防护设备与防雷元件之间的连接线应尽量短。</w:t>
      </w:r>
    </w:p>
    <w:p w14:paraId="5FEAEE41">
      <w:pPr>
        <w:pStyle w:val="1221"/>
        <w:jc w:val="both"/>
        <w:rPr>
          <w:szCs w:val="21"/>
        </w:rPr>
      </w:pPr>
      <w:r>
        <w:rPr>
          <w:rFonts w:hint="eastAsia"/>
          <w:szCs w:val="21"/>
        </w:rPr>
        <w:t>投标人应提供设备防雷措施的具体方案，并进行详细说明。</w:t>
      </w:r>
    </w:p>
    <w:p w14:paraId="1F6893A8">
      <w:pPr>
        <w:pStyle w:val="1221"/>
        <w:jc w:val="both"/>
        <w:rPr>
          <w:szCs w:val="21"/>
        </w:rPr>
      </w:pPr>
      <w:r>
        <w:rPr>
          <w:rFonts w:hint="eastAsia"/>
          <w:szCs w:val="21"/>
        </w:rPr>
        <w:t>投标人应对</w:t>
      </w:r>
      <w:r>
        <w:rPr>
          <w:rFonts w:hint="eastAsia"/>
          <w:szCs w:val="21"/>
          <w:lang w:val="en-US" w:eastAsia="zh-CN"/>
        </w:rPr>
        <w:t>招标人指定的</w:t>
      </w:r>
      <w:r>
        <w:rPr>
          <w:rFonts w:hint="eastAsia"/>
          <w:szCs w:val="21"/>
        </w:rPr>
        <w:t>环境中所有带电部件的安全防护措施提出建议，如防止电击、电位升高和间接冲击等防护措施。</w:t>
      </w:r>
    </w:p>
    <w:p w14:paraId="4003BB04">
      <w:pPr>
        <w:pStyle w:val="1221"/>
        <w:jc w:val="both"/>
        <w:rPr>
          <w:szCs w:val="21"/>
        </w:rPr>
      </w:pPr>
      <w:r>
        <w:rPr>
          <w:rFonts w:hint="eastAsia"/>
          <w:szCs w:val="21"/>
        </w:rPr>
        <w:t>系统设备所采用的接地方式应对系统的电子设备及人身安全防护有效。</w:t>
      </w:r>
    </w:p>
    <w:p w14:paraId="0B45265D">
      <w:pPr>
        <w:pStyle w:val="1221"/>
        <w:jc w:val="both"/>
        <w:rPr>
          <w:szCs w:val="21"/>
        </w:rPr>
      </w:pPr>
      <w:r>
        <w:rPr>
          <w:rFonts w:hint="eastAsia"/>
          <w:szCs w:val="21"/>
        </w:rPr>
        <w:t>投标人应对所提供的系统设备的防雷接地要求做详细描述，并提供接入综合接地系统的具体方案。</w:t>
      </w:r>
    </w:p>
    <w:p w14:paraId="4A4EA446">
      <w:pPr>
        <w:pStyle w:val="5"/>
        <w:rPr>
          <w:color w:val="auto"/>
          <w:szCs w:val="21"/>
        </w:rPr>
      </w:pPr>
      <w:r>
        <w:rPr>
          <w:rFonts w:hint="eastAsia"/>
          <w:color w:val="auto"/>
          <w:szCs w:val="21"/>
        </w:rPr>
        <w:t>配线要求</w:t>
      </w:r>
    </w:p>
    <w:p w14:paraId="3630AF38">
      <w:pPr>
        <w:pStyle w:val="1221"/>
        <w:jc w:val="both"/>
        <w:rPr>
          <w:szCs w:val="21"/>
        </w:rPr>
      </w:pPr>
      <w:r>
        <w:rPr>
          <w:rFonts w:hint="eastAsia"/>
          <w:szCs w:val="21"/>
        </w:rPr>
        <w:t>投标人应提供其供货设备所需的所有室内线缆、连接器、配线架/端子排/电源分配单元及其他附件。所有线缆应按各自用途，终结于配线架/端子排/电源分配单元，并有标签或标识，标签应采用经招标人批准的材料，适合现场的条件，并牢固固定。字体和字母的尺寸须经招标人认可。</w:t>
      </w:r>
    </w:p>
    <w:p w14:paraId="0B395FA4">
      <w:pPr>
        <w:pStyle w:val="1221"/>
        <w:jc w:val="both"/>
        <w:rPr>
          <w:szCs w:val="21"/>
        </w:rPr>
      </w:pPr>
      <w:r>
        <w:rPr>
          <w:szCs w:val="21"/>
        </w:rPr>
        <w:t>走线方式：</w:t>
      </w:r>
      <w:r>
        <w:rPr>
          <w:rFonts w:hint="eastAsia"/>
          <w:szCs w:val="21"/>
        </w:rPr>
        <w:t>控制中心数据中心机房配线连接暂按采用</w:t>
      </w:r>
      <w:r>
        <w:rPr>
          <w:rFonts w:hint="eastAsia"/>
          <w:szCs w:val="21"/>
          <w:lang w:val="en-US"/>
        </w:rPr>
        <w:t>上</w:t>
      </w:r>
      <w:r>
        <w:rPr>
          <w:rFonts w:hint="eastAsia"/>
          <w:szCs w:val="21"/>
        </w:rPr>
        <w:t>走线方式，最终走线方式在</w:t>
      </w:r>
      <w:r>
        <w:rPr>
          <w:rFonts w:hint="eastAsia"/>
          <w:szCs w:val="21"/>
          <w:lang w:eastAsia="zh-CN"/>
        </w:rPr>
        <w:t>技术联络</w:t>
      </w:r>
      <w:r>
        <w:rPr>
          <w:rFonts w:hint="eastAsia"/>
          <w:szCs w:val="21"/>
        </w:rPr>
        <w:t>阶段确认</w:t>
      </w:r>
      <w:r>
        <w:rPr>
          <w:szCs w:val="21"/>
        </w:rPr>
        <w:t>。</w:t>
      </w:r>
    </w:p>
    <w:p w14:paraId="328FC41D">
      <w:pPr>
        <w:pStyle w:val="1221"/>
        <w:jc w:val="both"/>
        <w:rPr>
          <w:szCs w:val="21"/>
        </w:rPr>
      </w:pPr>
      <w:r>
        <w:rPr>
          <w:rFonts w:hint="eastAsia"/>
          <w:szCs w:val="21"/>
        </w:rPr>
        <w:t>机柜内配线应结实、合理、整齐、美观、排列有序，配线应采用不同颜色区分，易于连接和识别。</w:t>
      </w:r>
    </w:p>
    <w:p w14:paraId="4D8265F3">
      <w:pPr>
        <w:pStyle w:val="1221"/>
        <w:jc w:val="both"/>
        <w:rPr>
          <w:szCs w:val="21"/>
        </w:rPr>
      </w:pPr>
      <w:r>
        <w:rPr>
          <w:rFonts w:hint="eastAsia"/>
          <w:szCs w:val="21"/>
        </w:rPr>
        <w:t>系统设备间的内部配线应整齐排列或捆绑，并应符合相关标准。</w:t>
      </w:r>
    </w:p>
    <w:p w14:paraId="205D67EA">
      <w:pPr>
        <w:pStyle w:val="1221"/>
        <w:jc w:val="both"/>
        <w:rPr>
          <w:szCs w:val="21"/>
        </w:rPr>
      </w:pPr>
      <w:r>
        <w:rPr>
          <w:rFonts w:hint="eastAsia"/>
          <w:szCs w:val="21"/>
        </w:rPr>
        <w:t>投标人提供的缆线内部的芯线应分组和分颜色排列。</w:t>
      </w:r>
    </w:p>
    <w:p w14:paraId="20264720">
      <w:pPr>
        <w:pStyle w:val="5"/>
        <w:rPr>
          <w:color w:val="auto"/>
          <w:szCs w:val="21"/>
        </w:rPr>
      </w:pPr>
      <w:r>
        <w:rPr>
          <w:rFonts w:hint="eastAsia"/>
          <w:color w:val="auto"/>
          <w:szCs w:val="21"/>
        </w:rPr>
        <w:t>标签和铭牌</w:t>
      </w:r>
    </w:p>
    <w:p w14:paraId="08CB0D04">
      <w:pPr>
        <w:pStyle w:val="1221"/>
        <w:jc w:val="both"/>
        <w:rPr>
          <w:szCs w:val="21"/>
        </w:rPr>
      </w:pPr>
      <w:r>
        <w:rPr>
          <w:rFonts w:hint="eastAsia"/>
          <w:szCs w:val="21"/>
        </w:rPr>
        <w:t>所有</w:t>
      </w:r>
      <w:r>
        <w:rPr>
          <w:rFonts w:hint="eastAsia"/>
          <w:szCs w:val="21"/>
          <w:lang w:val="en-US"/>
        </w:rPr>
        <w:t>设备</w:t>
      </w:r>
      <w:r>
        <w:rPr>
          <w:rFonts w:hint="eastAsia"/>
          <w:szCs w:val="21"/>
        </w:rPr>
        <w:t>及机箱、面板、组件和配件上都须有设备的金属耐腐蚀铭牌。</w:t>
      </w:r>
    </w:p>
    <w:p w14:paraId="58F412B3">
      <w:pPr>
        <w:pStyle w:val="1221"/>
        <w:jc w:val="both"/>
        <w:rPr>
          <w:szCs w:val="21"/>
        </w:rPr>
      </w:pPr>
      <w:r>
        <w:rPr>
          <w:rFonts w:hint="eastAsia"/>
          <w:szCs w:val="21"/>
        </w:rPr>
        <w:t>印刷电路板、室内外设备的线缆等应有标识或标签。</w:t>
      </w:r>
    </w:p>
    <w:p w14:paraId="14720170">
      <w:pPr>
        <w:pStyle w:val="1221"/>
        <w:jc w:val="both"/>
        <w:rPr>
          <w:szCs w:val="21"/>
        </w:rPr>
      </w:pPr>
      <w:r>
        <w:rPr>
          <w:rFonts w:hint="eastAsia"/>
          <w:szCs w:val="21"/>
        </w:rPr>
        <w:t>终结于配线端子处的室内外线缆应挂设标签或标识牌。所有室内外电缆芯线须设编号或有明显的颜色区分。</w:t>
      </w:r>
    </w:p>
    <w:p w14:paraId="4C9CBD32">
      <w:pPr>
        <w:pStyle w:val="1221"/>
        <w:jc w:val="both"/>
        <w:rPr>
          <w:szCs w:val="21"/>
        </w:rPr>
      </w:pPr>
      <w:r>
        <w:rPr>
          <w:rFonts w:hint="eastAsia"/>
          <w:szCs w:val="21"/>
        </w:rPr>
        <w:t>标签应采用批准的材料，适合现场的条件，并牢固固定。字体和字母的尺寸、颜色需经招标人确认。</w:t>
      </w:r>
    </w:p>
    <w:p w14:paraId="4601C6BC">
      <w:pPr>
        <w:pStyle w:val="1221"/>
        <w:jc w:val="both"/>
        <w:rPr>
          <w:szCs w:val="21"/>
        </w:rPr>
      </w:pPr>
      <w:r>
        <w:rPr>
          <w:rFonts w:hint="eastAsia"/>
          <w:szCs w:val="21"/>
        </w:rPr>
        <w:t>电力警告标识需符合国内有关规定。在无明确规定的情况下，需采用白色背景上书写红字，并有图解符号。</w:t>
      </w:r>
    </w:p>
    <w:p w14:paraId="217A4D92">
      <w:pPr>
        <w:pStyle w:val="1221"/>
        <w:jc w:val="both"/>
        <w:rPr>
          <w:szCs w:val="21"/>
        </w:rPr>
      </w:pPr>
      <w:r>
        <w:rPr>
          <w:rFonts w:hint="eastAsia"/>
          <w:szCs w:val="21"/>
        </w:rPr>
        <w:t>铭牌和标签具有完整的序列号和生产日期。所有标签、铭牌和标记需为永久性的，使用中文、英文和数字标注。</w:t>
      </w:r>
    </w:p>
    <w:p w14:paraId="4E350FF2">
      <w:pPr>
        <w:pStyle w:val="1221"/>
        <w:jc w:val="both"/>
        <w:rPr>
          <w:szCs w:val="21"/>
        </w:rPr>
      </w:pPr>
      <w:r>
        <w:rPr>
          <w:rFonts w:hint="eastAsia"/>
          <w:szCs w:val="21"/>
        </w:rPr>
        <w:t>以上所有铭牌、标识、标签的式样均应报招标人确认后实施，按照1号线的标签标识制作标准来实施</w:t>
      </w:r>
    </w:p>
    <w:p w14:paraId="1C685BCC">
      <w:pPr>
        <w:pStyle w:val="5"/>
        <w:rPr>
          <w:color w:val="auto"/>
          <w:szCs w:val="21"/>
        </w:rPr>
      </w:pPr>
      <w:r>
        <w:rPr>
          <w:color w:val="auto"/>
          <w:szCs w:val="21"/>
        </w:rPr>
        <w:t>电磁兼容</w:t>
      </w:r>
    </w:p>
    <w:p w14:paraId="6A70D6DA">
      <w:pPr>
        <w:pStyle w:val="1221"/>
        <w:jc w:val="both"/>
        <w:rPr>
          <w:szCs w:val="21"/>
        </w:rPr>
      </w:pPr>
      <w:r>
        <w:rPr>
          <w:rFonts w:hint="eastAsia"/>
          <w:szCs w:val="21"/>
        </w:rPr>
        <w:t>投标人应采取包括屏蔽、滤波或者其它器材或技术，以抑制设备和材料自我产生的电磁干扰。投标人提供</w:t>
      </w:r>
      <w:r>
        <w:rPr>
          <w:szCs w:val="21"/>
        </w:rPr>
        <w:t>的</w:t>
      </w:r>
      <w:r>
        <w:rPr>
          <w:rFonts w:hint="eastAsia"/>
          <w:szCs w:val="21"/>
        </w:rPr>
        <w:t>设备和材料</w:t>
      </w:r>
      <w:r>
        <w:rPr>
          <w:szCs w:val="21"/>
        </w:rPr>
        <w:t>应不受其他系统的电磁干扰，也不对其他系统产生电磁干扰。投标人应和其它系统承包商就电磁兼容问题进行协调</w:t>
      </w:r>
      <w:r>
        <w:rPr>
          <w:rFonts w:hint="eastAsia"/>
          <w:szCs w:val="21"/>
        </w:rPr>
        <w:t>并</w:t>
      </w:r>
      <w:r>
        <w:rPr>
          <w:szCs w:val="21"/>
        </w:rPr>
        <w:t>交换有关资料。</w:t>
      </w:r>
    </w:p>
    <w:p w14:paraId="422B1907">
      <w:pPr>
        <w:pStyle w:val="1221"/>
        <w:jc w:val="both"/>
        <w:rPr>
          <w:szCs w:val="21"/>
        </w:rPr>
      </w:pPr>
      <w:r>
        <w:rPr>
          <w:szCs w:val="21"/>
        </w:rPr>
        <w:t>如设备不能达到相关的电磁兼容规范要求，投标人应对设备或系统进行整体</w:t>
      </w:r>
      <w:r>
        <w:rPr>
          <w:rFonts w:hint="eastAsia"/>
          <w:szCs w:val="21"/>
          <w:lang w:eastAsia="zh-CN"/>
        </w:rPr>
        <w:t>规划</w:t>
      </w:r>
      <w:r>
        <w:rPr>
          <w:szCs w:val="21"/>
        </w:rPr>
        <w:t>和考虑，另外采取电磁抗</w:t>
      </w:r>
      <w:r>
        <w:rPr>
          <w:rFonts w:hint="eastAsia"/>
          <w:szCs w:val="21"/>
        </w:rPr>
        <w:t>干</w:t>
      </w:r>
      <w:r>
        <w:rPr>
          <w:szCs w:val="21"/>
        </w:rPr>
        <w:t>扰措施，例如增加抗电磁干扰屏蔽柜或隔离配件等，以保证整个系统或设备符合电磁兼容规范要求。</w:t>
      </w:r>
    </w:p>
    <w:p w14:paraId="56E6326D">
      <w:pPr>
        <w:pStyle w:val="4"/>
        <w:rPr>
          <w:sz w:val="21"/>
          <w:szCs w:val="21"/>
        </w:rPr>
      </w:pPr>
      <w:bookmarkStart w:id="267" w:name="_Toc10785"/>
      <w:bookmarkStart w:id="268" w:name="_Toc29638"/>
      <w:r>
        <w:rPr>
          <w:sz w:val="21"/>
          <w:szCs w:val="21"/>
        </w:rPr>
        <w:t>其它要求</w:t>
      </w:r>
      <w:bookmarkEnd w:id="267"/>
      <w:bookmarkEnd w:id="268"/>
    </w:p>
    <w:p w14:paraId="1107EC02">
      <w:pPr>
        <w:pStyle w:val="5"/>
        <w:rPr>
          <w:color w:val="auto"/>
          <w:szCs w:val="21"/>
        </w:rPr>
      </w:pPr>
      <w:r>
        <w:rPr>
          <w:color w:val="auto"/>
          <w:szCs w:val="21"/>
        </w:rPr>
        <w:t>投标人应仔细阅读本招标</w:t>
      </w:r>
      <w:r>
        <w:rPr>
          <w:rFonts w:hint="eastAsia"/>
          <w:color w:val="auto"/>
          <w:szCs w:val="21"/>
        </w:rPr>
        <w:t>文件</w:t>
      </w:r>
      <w:r>
        <w:rPr>
          <w:color w:val="auto"/>
          <w:szCs w:val="21"/>
        </w:rPr>
        <w:t>中规定的所有条款，并填写技术偏离表和提出技术规格建议书。在技术规</w:t>
      </w:r>
      <w:r>
        <w:rPr>
          <w:rFonts w:hint="eastAsia"/>
          <w:color w:val="auto"/>
          <w:szCs w:val="21"/>
        </w:rPr>
        <w:t>格</w:t>
      </w:r>
      <w:r>
        <w:rPr>
          <w:color w:val="auto"/>
          <w:szCs w:val="21"/>
        </w:rPr>
        <w:t>中不能出现“近似”或“大约”用词。对于每条要求必须详细写出参数、规格或方案内容。</w:t>
      </w:r>
    </w:p>
    <w:p w14:paraId="3A544C7D">
      <w:pPr>
        <w:pStyle w:val="5"/>
        <w:rPr>
          <w:color w:val="auto"/>
          <w:szCs w:val="21"/>
        </w:rPr>
      </w:pPr>
      <w:r>
        <w:rPr>
          <w:rFonts w:hint="eastAsia"/>
          <w:color w:val="auto"/>
          <w:szCs w:val="21"/>
        </w:rPr>
        <w:t>在投标文件中，投标人应明确提出需要招标人提供的条件（包括技术资料）。</w:t>
      </w:r>
    </w:p>
    <w:p w14:paraId="5EF6053B">
      <w:pPr>
        <w:pStyle w:val="5"/>
        <w:rPr>
          <w:color w:val="auto"/>
          <w:szCs w:val="21"/>
        </w:rPr>
      </w:pPr>
      <w:r>
        <w:rPr>
          <w:color w:val="auto"/>
          <w:szCs w:val="21"/>
        </w:rPr>
        <w:t>投标人应根据</w:t>
      </w:r>
      <w:r>
        <w:rPr>
          <w:rFonts w:hint="eastAsia"/>
          <w:color w:val="auto"/>
          <w:szCs w:val="21"/>
          <w:lang w:val="en-US"/>
        </w:rPr>
        <w:t>本项目</w:t>
      </w:r>
      <w:r>
        <w:rPr>
          <w:color w:val="auto"/>
          <w:szCs w:val="21"/>
        </w:rPr>
        <w:t>投标设备的具体情况，应对于</w:t>
      </w:r>
      <w:r>
        <w:rPr>
          <w:rFonts w:hint="eastAsia"/>
          <w:color w:val="auto"/>
          <w:szCs w:val="21"/>
        </w:rPr>
        <w:t>核心控制</w:t>
      </w:r>
      <w:r>
        <w:rPr>
          <w:color w:val="auto"/>
          <w:szCs w:val="21"/>
        </w:rPr>
        <w:t>、</w:t>
      </w:r>
      <w:r>
        <w:rPr>
          <w:rFonts w:hint="eastAsia"/>
          <w:color w:val="auto"/>
          <w:szCs w:val="21"/>
        </w:rPr>
        <w:t>交换、</w:t>
      </w:r>
      <w:r>
        <w:rPr>
          <w:color w:val="auto"/>
          <w:szCs w:val="21"/>
        </w:rPr>
        <w:t>电源等重要</w:t>
      </w:r>
      <w:r>
        <w:rPr>
          <w:rFonts w:hint="eastAsia"/>
          <w:color w:val="auto"/>
          <w:szCs w:val="21"/>
        </w:rPr>
        <w:t>设备</w:t>
      </w:r>
      <w:r>
        <w:rPr>
          <w:color w:val="auto"/>
          <w:szCs w:val="21"/>
        </w:rPr>
        <w:t>考虑必要的安全冗余配置，以确保系统安全可靠、不间断地正常运行。招标人有权决定对重要</w:t>
      </w:r>
      <w:r>
        <w:rPr>
          <w:rFonts w:hint="eastAsia"/>
          <w:color w:val="auto"/>
          <w:szCs w:val="21"/>
        </w:rPr>
        <w:t>设备及板卡</w:t>
      </w:r>
      <w:r>
        <w:rPr>
          <w:color w:val="auto"/>
          <w:szCs w:val="21"/>
        </w:rPr>
        <w:t>是否增配。</w:t>
      </w:r>
    </w:p>
    <w:p w14:paraId="57251E8F">
      <w:pPr>
        <w:pStyle w:val="5"/>
        <w:rPr>
          <w:rFonts w:hAnsi="宋体"/>
          <w:color w:val="auto"/>
          <w:szCs w:val="21"/>
        </w:rPr>
        <w:sectPr>
          <w:pgSz w:w="11906" w:h="16838"/>
          <w:pgMar w:top="1418" w:right="1418" w:bottom="1418" w:left="1418" w:header="851" w:footer="851" w:gutter="0"/>
          <w:cols w:space="720" w:num="1"/>
          <w:docGrid w:linePitch="312" w:charSpace="0"/>
        </w:sectPr>
      </w:pPr>
      <w:r>
        <w:rPr>
          <w:rFonts w:hAnsi="宋体"/>
          <w:color w:val="auto"/>
          <w:szCs w:val="21"/>
        </w:rPr>
        <w:t>投标人选用的</w:t>
      </w:r>
      <w:r>
        <w:rPr>
          <w:rFonts w:hint="eastAsia" w:hAnsi="宋体"/>
          <w:color w:val="auto"/>
          <w:szCs w:val="21"/>
        </w:rPr>
        <w:t>线缆</w:t>
      </w:r>
      <w:r>
        <w:rPr>
          <w:rFonts w:hAnsi="宋体"/>
          <w:color w:val="auto"/>
          <w:szCs w:val="21"/>
        </w:rPr>
        <w:t>均应采用低烟、无卤、阻燃型</w:t>
      </w:r>
      <w:r>
        <w:rPr>
          <w:rFonts w:hint="eastAsia" w:hAnsi="宋体"/>
          <w:color w:val="auto"/>
          <w:szCs w:val="21"/>
        </w:rPr>
        <w:t>。</w:t>
      </w:r>
    </w:p>
    <w:p w14:paraId="604E120F">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69" w:name="_Toc218141692"/>
      <w:bookmarkStart w:id="270" w:name="_Toc128120971"/>
      <w:bookmarkStart w:id="271" w:name="_Toc215889475"/>
      <w:bookmarkStart w:id="272" w:name="_Toc218143454"/>
      <w:bookmarkStart w:id="273" w:name="_Toc234326553"/>
      <w:bookmarkStart w:id="274" w:name="_Toc128138354"/>
      <w:bookmarkStart w:id="275" w:name="_Toc128139339"/>
      <w:bookmarkStart w:id="276" w:name="_Toc128137846"/>
      <w:bookmarkStart w:id="277" w:name="_Toc10524"/>
      <w:bookmarkStart w:id="278" w:name="_Toc213407863"/>
      <w:bookmarkStart w:id="279" w:name="_Toc128122941"/>
      <w:bookmarkStart w:id="280" w:name="_Toc212869966"/>
      <w:bookmarkStart w:id="281" w:name="_Toc218144175"/>
      <w:bookmarkStart w:id="282" w:name="_Toc213406570"/>
      <w:bookmarkStart w:id="283" w:name="_Toc128139126"/>
      <w:bookmarkStart w:id="284" w:name="_Toc128140595"/>
      <w:bookmarkStart w:id="285" w:name="_Toc259981550"/>
      <w:bookmarkStart w:id="286" w:name="_Toc290373441"/>
      <w:bookmarkStart w:id="287" w:name="_Toc218144426"/>
      <w:bookmarkStart w:id="288" w:name="_Toc130876956"/>
      <w:bookmarkStart w:id="289" w:name="_Toc128138724"/>
      <w:bookmarkStart w:id="290" w:name="_Toc213477268"/>
      <w:bookmarkStart w:id="291" w:name="_Toc128223301"/>
      <w:bookmarkStart w:id="292" w:name="_Toc214704215"/>
      <w:bookmarkStart w:id="293" w:name="_Toc234326017"/>
      <w:bookmarkStart w:id="294" w:name="_Toc218143885"/>
      <w:bookmarkStart w:id="295" w:name="_Toc218145810"/>
      <w:bookmarkStart w:id="296" w:name="_Toc218141943"/>
      <w:bookmarkStart w:id="297" w:name="_Toc128141020"/>
      <w:bookmarkStart w:id="298" w:name="_Toc231185183"/>
      <w:bookmarkStart w:id="299" w:name="_Toc218145228"/>
      <w:bookmarkStart w:id="300" w:name="_Toc130291576"/>
      <w:bookmarkStart w:id="301" w:name="_Toc218141224"/>
      <w:bookmarkStart w:id="302" w:name="_Toc234326285"/>
      <w:bookmarkStart w:id="303" w:name="_Toc212873928"/>
      <w:bookmarkStart w:id="304" w:name="_Toc214704464"/>
      <w:bookmarkStart w:id="305" w:name="_Toc217105779"/>
      <w:bookmarkStart w:id="306" w:name="_Toc128139620"/>
      <w:bookmarkStart w:id="307" w:name="_Toc128137430"/>
      <w:bookmarkStart w:id="308" w:name="_Toc218147604"/>
      <w:bookmarkStart w:id="309" w:name="_Toc128141198"/>
      <w:bookmarkStart w:id="310" w:name="_Toc215885562"/>
      <w:bookmarkStart w:id="311" w:name="_Toc15877"/>
      <w:bookmarkStart w:id="312" w:name="_Toc218144928"/>
      <w:bookmarkStart w:id="313" w:name="_Toc128140028"/>
      <w:bookmarkStart w:id="314" w:name="_Toc131867905"/>
      <w:bookmarkStart w:id="315" w:name="_Toc222816882"/>
      <w:bookmarkStart w:id="316" w:name="_Toc237702923"/>
      <w:bookmarkStart w:id="317" w:name="_Toc128121078"/>
      <w:bookmarkStart w:id="318" w:name="_Toc212875120"/>
      <w:bookmarkStart w:id="319" w:name="_Toc234326821"/>
      <w:bookmarkStart w:id="320" w:name="_Toc218147353"/>
      <w:bookmarkStart w:id="321" w:name="_Toc212872608"/>
      <w:bookmarkStart w:id="322" w:name="_Toc213477514"/>
      <w:bookmarkStart w:id="323" w:name="_Toc218144677"/>
      <w:bookmarkStart w:id="324" w:name="_Toc214703966"/>
      <w:bookmarkStart w:id="325" w:name="_Toc234325805"/>
      <w:bookmarkStart w:id="326" w:name="_Toc128141497"/>
      <w:bookmarkStart w:id="327" w:name="_Toc218142194"/>
      <w:bookmarkStart w:id="328" w:name="_Toc128138108"/>
      <w:r>
        <w:rPr>
          <w:rFonts w:ascii="Times New Roman" w:hAnsi="Times New Roman" w:eastAsia="宋体"/>
          <w:b/>
          <w:bCs/>
          <w:sz w:val="21"/>
          <w:szCs w:val="21"/>
        </w:rPr>
        <w:t>任务、职责范围及接口</w:t>
      </w:r>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p>
    <w:p w14:paraId="4AC79F09">
      <w:pPr>
        <w:pStyle w:val="4"/>
        <w:ind w:left="615"/>
        <w:rPr>
          <w:sz w:val="21"/>
          <w:szCs w:val="21"/>
        </w:rPr>
      </w:pPr>
      <w:bookmarkStart w:id="329" w:name="_Toc128139340"/>
      <w:bookmarkStart w:id="330" w:name="_Toc215885563"/>
      <w:bookmarkStart w:id="331" w:name="_Toc218141225"/>
      <w:bookmarkStart w:id="332" w:name="_Toc214704465"/>
      <w:bookmarkStart w:id="333" w:name="_Toc259981551"/>
      <w:bookmarkStart w:id="334" w:name="_Toc218141693"/>
      <w:bookmarkStart w:id="335" w:name="_Toc218147354"/>
      <w:bookmarkStart w:id="336" w:name="_Toc290373442"/>
      <w:bookmarkStart w:id="337" w:name="_Toc128137847"/>
      <w:bookmarkStart w:id="338" w:name="_Toc218144427"/>
      <w:bookmarkStart w:id="339" w:name="_Toc25522"/>
      <w:bookmarkStart w:id="340" w:name="_Toc214704216"/>
      <w:bookmarkStart w:id="341" w:name="_Toc128139127"/>
      <w:bookmarkStart w:id="342" w:name="_Toc128141498"/>
      <w:bookmarkStart w:id="343" w:name="_Toc128140596"/>
      <w:bookmarkStart w:id="344" w:name="_Toc128139621"/>
      <w:bookmarkStart w:id="345" w:name="_Toc212872609"/>
      <w:bookmarkStart w:id="346" w:name="_Toc128138725"/>
      <w:bookmarkStart w:id="347" w:name="_Toc218144176"/>
      <w:bookmarkStart w:id="348" w:name="_Toc128138355"/>
      <w:bookmarkStart w:id="349" w:name="_Toc218145229"/>
      <w:bookmarkStart w:id="350" w:name="_Toc213477269"/>
      <w:bookmarkStart w:id="351" w:name="_Toc218141944"/>
      <w:bookmarkStart w:id="352" w:name="_Toc234326018"/>
      <w:bookmarkStart w:id="353" w:name="_Toc215889476"/>
      <w:bookmarkStart w:id="354" w:name="_Toc237702924"/>
      <w:bookmarkStart w:id="355" w:name="_Toc213477515"/>
      <w:bookmarkStart w:id="356" w:name="_Toc128140029"/>
      <w:bookmarkStart w:id="357" w:name="_Toc218147605"/>
      <w:bookmarkStart w:id="358" w:name="_Toc234326822"/>
      <w:bookmarkStart w:id="359" w:name="_Toc234326554"/>
      <w:bookmarkStart w:id="360" w:name="_Toc218144678"/>
      <w:bookmarkStart w:id="361" w:name="_Toc128120972"/>
      <w:bookmarkStart w:id="362" w:name="_Toc128122942"/>
      <w:bookmarkStart w:id="363" w:name="_Toc218143886"/>
      <w:bookmarkStart w:id="364" w:name="_Toc218142195"/>
      <w:bookmarkStart w:id="365" w:name="_Toc128141021"/>
      <w:bookmarkStart w:id="366" w:name="_Toc217105780"/>
      <w:bookmarkStart w:id="367" w:name="_Toc131867906"/>
      <w:bookmarkStart w:id="368" w:name="_Toc214703967"/>
      <w:bookmarkStart w:id="369" w:name="_Toc234326286"/>
      <w:bookmarkStart w:id="370" w:name="_Toc218145811"/>
      <w:bookmarkStart w:id="371" w:name="_Toc218143455"/>
      <w:bookmarkStart w:id="372" w:name="_Toc231185184"/>
      <w:bookmarkStart w:id="373" w:name="_Toc128141199"/>
      <w:bookmarkStart w:id="374" w:name="_Toc128137431"/>
      <w:bookmarkStart w:id="375" w:name="_Toc212875121"/>
      <w:bookmarkStart w:id="376" w:name="_Toc128223302"/>
      <w:bookmarkStart w:id="377" w:name="_Toc212869967"/>
      <w:bookmarkStart w:id="378" w:name="_Toc22807"/>
      <w:bookmarkStart w:id="379" w:name="_Toc218144929"/>
      <w:bookmarkStart w:id="380" w:name="_Toc130291577"/>
      <w:bookmarkStart w:id="381" w:name="_Toc213407864"/>
      <w:bookmarkStart w:id="382" w:name="_Toc212873929"/>
      <w:r>
        <w:rPr>
          <w:sz w:val="21"/>
          <w:szCs w:val="21"/>
        </w:rPr>
        <w:t>总则</w:t>
      </w:r>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p w14:paraId="6C93A773">
      <w:pPr>
        <w:pStyle w:val="5"/>
        <w:rPr>
          <w:color w:val="auto"/>
          <w:szCs w:val="21"/>
        </w:rPr>
      </w:pPr>
      <w:r>
        <w:rPr>
          <w:color w:val="auto"/>
          <w:szCs w:val="21"/>
        </w:rPr>
        <w:t>招标人</w:t>
      </w:r>
      <w:r>
        <w:rPr>
          <w:rFonts w:hint="eastAsia"/>
          <w:color w:val="auto"/>
          <w:szCs w:val="21"/>
        </w:rPr>
        <w:t>将采用公开招标的方式对本项目进行招标。</w:t>
      </w:r>
    </w:p>
    <w:p w14:paraId="7B74433D">
      <w:pPr>
        <w:pStyle w:val="5"/>
        <w:rPr>
          <w:color w:val="auto"/>
          <w:szCs w:val="21"/>
        </w:rPr>
      </w:pPr>
      <w:r>
        <w:rPr>
          <w:color w:val="auto"/>
          <w:szCs w:val="21"/>
        </w:rPr>
        <w:t>投标人应根据</w:t>
      </w:r>
      <w:r>
        <w:rPr>
          <w:rFonts w:hint="eastAsia"/>
          <w:color w:val="auto"/>
          <w:szCs w:val="21"/>
        </w:rPr>
        <w:t>招标人相关要求进行相关图纸、文件</w:t>
      </w:r>
      <w:r>
        <w:rPr>
          <w:color w:val="auto"/>
          <w:szCs w:val="21"/>
        </w:rPr>
        <w:t>的编制。</w:t>
      </w:r>
    </w:p>
    <w:p w14:paraId="258D5F18">
      <w:pPr>
        <w:pStyle w:val="5"/>
        <w:rPr>
          <w:color w:val="auto"/>
          <w:szCs w:val="21"/>
        </w:rPr>
      </w:pPr>
      <w:r>
        <w:rPr>
          <w:rFonts w:hint="eastAsia"/>
          <w:color w:val="auto"/>
          <w:szCs w:val="21"/>
        </w:rPr>
        <w:t>投标人应完成本项目采购的</w:t>
      </w:r>
      <w:r>
        <w:rPr>
          <w:rFonts w:hint="eastAsia"/>
          <w:color w:val="auto"/>
          <w:szCs w:val="21"/>
          <w:lang w:val="en-US"/>
        </w:rPr>
        <w:t>软、硬</w:t>
      </w:r>
      <w:r>
        <w:rPr>
          <w:rFonts w:hint="eastAsia"/>
          <w:color w:val="auto"/>
          <w:szCs w:val="21"/>
        </w:rPr>
        <w:t>设备及材料</w:t>
      </w:r>
      <w:r>
        <w:rPr>
          <w:rFonts w:hint="eastAsia"/>
          <w:color w:val="auto"/>
          <w:szCs w:val="21"/>
          <w:lang w:val="en-US" w:eastAsia="zh-CN"/>
        </w:rPr>
        <w:t>供应</w:t>
      </w:r>
      <w:r>
        <w:rPr>
          <w:rFonts w:hint="eastAsia"/>
          <w:color w:val="auto"/>
          <w:szCs w:val="21"/>
        </w:rPr>
        <w:t>。</w:t>
      </w:r>
    </w:p>
    <w:p w14:paraId="70192DFD">
      <w:pPr>
        <w:pStyle w:val="4"/>
        <w:ind w:left="615"/>
        <w:rPr>
          <w:sz w:val="21"/>
          <w:szCs w:val="21"/>
        </w:rPr>
      </w:pPr>
      <w:bookmarkStart w:id="383" w:name="_Toc234326019"/>
      <w:bookmarkStart w:id="384" w:name="_Toc234326287"/>
      <w:bookmarkStart w:id="385" w:name="_Toc218147355"/>
      <w:bookmarkStart w:id="386" w:name="_Toc128137432"/>
      <w:bookmarkStart w:id="387" w:name="_Toc128138356"/>
      <w:bookmarkStart w:id="388" w:name="_Toc218141694"/>
      <w:bookmarkStart w:id="389" w:name="_Toc237702925"/>
      <w:bookmarkStart w:id="390" w:name="_Toc218141945"/>
      <w:bookmarkStart w:id="391" w:name="_Toc259981552"/>
      <w:bookmarkStart w:id="392" w:name="_Toc131867907"/>
      <w:bookmarkStart w:id="393" w:name="_Toc218143456"/>
      <w:bookmarkStart w:id="394" w:name="_Toc128139128"/>
      <w:bookmarkStart w:id="395" w:name="_Toc215885564"/>
      <w:bookmarkStart w:id="396" w:name="_Toc218143887"/>
      <w:bookmarkStart w:id="397" w:name="_Toc218145812"/>
      <w:bookmarkStart w:id="398" w:name="_Toc212872610"/>
      <w:bookmarkStart w:id="399" w:name="_Toc218142196"/>
      <w:bookmarkStart w:id="400" w:name="_Toc231185185"/>
      <w:bookmarkStart w:id="401" w:name="_Toc212873930"/>
      <w:bookmarkStart w:id="402" w:name="_Toc213477270"/>
      <w:bookmarkStart w:id="403" w:name="_Toc128139341"/>
      <w:bookmarkStart w:id="404" w:name="_Toc290373443"/>
      <w:bookmarkStart w:id="405" w:name="_Toc213477516"/>
      <w:bookmarkStart w:id="406" w:name="_Toc128141499"/>
      <w:bookmarkStart w:id="407" w:name="_Toc212869968"/>
      <w:bookmarkStart w:id="408" w:name="_Toc214704217"/>
      <w:bookmarkStart w:id="409" w:name="_Toc218141226"/>
      <w:bookmarkStart w:id="410" w:name="_Toc218147606"/>
      <w:bookmarkStart w:id="411" w:name="_Toc218145230"/>
      <w:bookmarkStart w:id="412" w:name="_Toc128139622"/>
      <w:bookmarkStart w:id="413" w:name="_Toc212875122"/>
      <w:bookmarkStart w:id="414" w:name="_Toc214703968"/>
      <w:bookmarkStart w:id="415" w:name="_Toc1061"/>
      <w:bookmarkStart w:id="416" w:name="_Toc128223303"/>
      <w:bookmarkStart w:id="417" w:name="_Toc218144177"/>
      <w:bookmarkStart w:id="418" w:name="_Toc215889477"/>
      <w:bookmarkStart w:id="419" w:name="_Toc128141200"/>
      <w:bookmarkStart w:id="420" w:name="_Toc218144930"/>
      <w:bookmarkStart w:id="421" w:name="_Toc128141022"/>
      <w:bookmarkStart w:id="422" w:name="_Toc128138726"/>
      <w:bookmarkStart w:id="423" w:name="_Toc214704466"/>
      <w:bookmarkStart w:id="424" w:name="_Toc218144679"/>
      <w:bookmarkStart w:id="425" w:name="_Toc234326823"/>
      <w:bookmarkStart w:id="426" w:name="_Toc128140030"/>
      <w:bookmarkStart w:id="427" w:name="_Toc128140597"/>
      <w:bookmarkStart w:id="428" w:name="_Toc128120973"/>
      <w:bookmarkStart w:id="429" w:name="_Toc234326555"/>
      <w:bookmarkStart w:id="430" w:name="_Toc128122943"/>
      <w:bookmarkStart w:id="431" w:name="_Toc213407865"/>
      <w:bookmarkStart w:id="432" w:name="_Toc218144428"/>
      <w:bookmarkStart w:id="433" w:name="_Toc130291578"/>
      <w:bookmarkStart w:id="434" w:name="_Toc128137848"/>
      <w:bookmarkStart w:id="435" w:name="_Toc7565"/>
      <w:bookmarkStart w:id="436" w:name="_Toc217105781"/>
      <w:r>
        <w:rPr>
          <w:sz w:val="21"/>
          <w:szCs w:val="21"/>
        </w:rPr>
        <w:t>合同关系</w:t>
      </w:r>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p>
    <w:p w14:paraId="0D20FFF6">
      <w:pPr>
        <w:pStyle w:val="5"/>
        <w:rPr>
          <w:color w:val="auto"/>
          <w:szCs w:val="21"/>
        </w:rPr>
      </w:pPr>
      <w:r>
        <w:rPr>
          <w:rFonts w:hint="eastAsia"/>
          <w:color w:val="auto"/>
          <w:szCs w:val="21"/>
        </w:rPr>
        <w:t>招标人</w:t>
      </w:r>
      <w:r>
        <w:rPr>
          <w:color w:val="auto"/>
          <w:szCs w:val="21"/>
        </w:rPr>
        <w:t>与投标人签定</w:t>
      </w:r>
      <w:r>
        <w:rPr>
          <w:rFonts w:hint="eastAsia"/>
          <w:color w:val="auto"/>
          <w:szCs w:val="21"/>
        </w:rPr>
        <w:t>本项目</w:t>
      </w:r>
      <w:r>
        <w:rPr>
          <w:color w:val="auto"/>
          <w:szCs w:val="21"/>
        </w:rPr>
        <w:t>设备采购合同。</w:t>
      </w:r>
    </w:p>
    <w:p w14:paraId="3C3300BE">
      <w:pPr>
        <w:pStyle w:val="4"/>
        <w:ind w:left="615"/>
        <w:rPr>
          <w:sz w:val="21"/>
          <w:szCs w:val="21"/>
        </w:rPr>
      </w:pPr>
      <w:bookmarkStart w:id="437" w:name="_Toc234326556"/>
      <w:bookmarkStart w:id="438" w:name="_Toc215885565"/>
      <w:bookmarkStart w:id="439" w:name="_Toc214703969"/>
      <w:bookmarkStart w:id="440" w:name="_Toc218144429"/>
      <w:bookmarkStart w:id="441" w:name="_Toc213477517"/>
      <w:bookmarkStart w:id="442" w:name="_Toc290373444"/>
      <w:bookmarkStart w:id="443" w:name="_Toc128137433"/>
      <w:bookmarkStart w:id="444" w:name="_Toc217105782"/>
      <w:bookmarkStart w:id="445" w:name="_Toc214704218"/>
      <w:bookmarkStart w:id="446" w:name="_Toc128139623"/>
      <w:bookmarkStart w:id="447" w:name="_Toc4382"/>
      <w:bookmarkStart w:id="448" w:name="_Toc218141946"/>
      <w:bookmarkStart w:id="449" w:name="_Toc218144680"/>
      <w:bookmarkStart w:id="450" w:name="_Toc128139342"/>
      <w:bookmarkStart w:id="451" w:name="_Toc259981553"/>
      <w:bookmarkStart w:id="452" w:name="_Toc212872611"/>
      <w:bookmarkStart w:id="453" w:name="_Toc128223304"/>
      <w:bookmarkStart w:id="454" w:name="_Toc218141227"/>
      <w:bookmarkStart w:id="455" w:name="_Toc218144931"/>
      <w:bookmarkStart w:id="456" w:name="_Toc128122944"/>
      <w:bookmarkStart w:id="457" w:name="_Toc234326824"/>
      <w:bookmarkStart w:id="458" w:name="_Toc213477271"/>
      <w:bookmarkStart w:id="459" w:name="_Toc218143888"/>
      <w:bookmarkStart w:id="460" w:name="_Toc215889478"/>
      <w:bookmarkStart w:id="461" w:name="_Toc237702926"/>
      <w:bookmarkStart w:id="462" w:name="_Toc214704467"/>
      <w:bookmarkStart w:id="463" w:name="_Toc128141023"/>
      <w:bookmarkStart w:id="464" w:name="_Toc218141695"/>
      <w:bookmarkStart w:id="465" w:name="_Toc212869969"/>
      <w:bookmarkStart w:id="466" w:name="_Toc213407866"/>
      <w:bookmarkStart w:id="467" w:name="_Toc218143457"/>
      <w:bookmarkStart w:id="468" w:name="_Toc231185186"/>
      <w:bookmarkStart w:id="469" w:name="_Toc130291579"/>
      <w:bookmarkStart w:id="470" w:name="_Toc128141201"/>
      <w:bookmarkStart w:id="471" w:name="_Toc128137849"/>
      <w:bookmarkStart w:id="472" w:name="_Toc234326288"/>
      <w:bookmarkStart w:id="473" w:name="_Toc128140598"/>
      <w:bookmarkStart w:id="474" w:name="_Toc218145813"/>
      <w:bookmarkStart w:id="475" w:name="_Toc131867908"/>
      <w:bookmarkStart w:id="476" w:name="_Toc218144178"/>
      <w:bookmarkStart w:id="477" w:name="_Toc234326020"/>
      <w:bookmarkStart w:id="478" w:name="_Toc128141500"/>
      <w:bookmarkStart w:id="479" w:name="_Toc128140031"/>
      <w:bookmarkStart w:id="480" w:name="_Toc218147607"/>
      <w:bookmarkStart w:id="481" w:name="_Toc128138357"/>
      <w:bookmarkStart w:id="482" w:name="_Toc212875123"/>
      <w:bookmarkStart w:id="483" w:name="_Toc218142197"/>
      <w:bookmarkStart w:id="484" w:name="_Toc218145231"/>
      <w:bookmarkStart w:id="485" w:name="_Toc212873931"/>
      <w:bookmarkStart w:id="486" w:name="_Toc17046"/>
      <w:bookmarkStart w:id="487" w:name="_Toc128138727"/>
      <w:bookmarkStart w:id="488" w:name="_Toc128139129"/>
      <w:bookmarkStart w:id="489" w:name="_Toc218147356"/>
      <w:bookmarkStart w:id="490" w:name="_Toc128120974"/>
      <w:r>
        <w:rPr>
          <w:sz w:val="21"/>
          <w:szCs w:val="21"/>
        </w:rPr>
        <w:t>各方职责</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p>
    <w:p w14:paraId="265DE61B">
      <w:pPr>
        <w:widowControl/>
        <w:tabs>
          <w:tab w:val="left" w:pos="370"/>
        </w:tabs>
        <w:adjustRightInd w:val="0"/>
        <w:snapToGrid w:val="0"/>
        <w:ind w:firstLine="630" w:firstLineChars="300"/>
        <w:rPr>
          <w:sz w:val="21"/>
          <w:szCs w:val="21"/>
        </w:rPr>
      </w:pPr>
      <w:r>
        <w:rPr>
          <w:sz w:val="21"/>
          <w:szCs w:val="21"/>
        </w:rPr>
        <w:t>各方职责包括但不限于此：</w:t>
      </w:r>
    </w:p>
    <w:p w14:paraId="1FB84D44">
      <w:pPr>
        <w:pStyle w:val="5"/>
        <w:rPr>
          <w:color w:val="auto"/>
          <w:szCs w:val="21"/>
        </w:rPr>
      </w:pPr>
      <w:r>
        <w:rPr>
          <w:color w:val="auto"/>
          <w:szCs w:val="21"/>
        </w:rPr>
        <w:t>招标人</w:t>
      </w:r>
    </w:p>
    <w:p w14:paraId="2406E288">
      <w:pPr>
        <w:widowControl/>
        <w:numPr>
          <w:ilvl w:val="0"/>
          <w:numId w:val="34"/>
        </w:numPr>
        <w:adjustRightInd w:val="0"/>
        <w:snapToGrid w:val="0"/>
        <w:jc w:val="both"/>
        <w:rPr>
          <w:sz w:val="21"/>
          <w:szCs w:val="21"/>
        </w:rPr>
      </w:pPr>
      <w:r>
        <w:rPr>
          <w:sz w:val="21"/>
          <w:szCs w:val="21"/>
        </w:rPr>
        <w:t>负责本</w:t>
      </w:r>
      <w:r>
        <w:rPr>
          <w:rFonts w:hint="eastAsia"/>
          <w:sz w:val="21"/>
          <w:szCs w:val="21"/>
        </w:rPr>
        <w:t>项目</w:t>
      </w:r>
      <w:r>
        <w:rPr>
          <w:sz w:val="21"/>
          <w:szCs w:val="21"/>
        </w:rPr>
        <w:t>的监督、检查、关键点的控制及合同款的支付，对</w:t>
      </w:r>
      <w:r>
        <w:rPr>
          <w:rFonts w:hint="eastAsia"/>
          <w:sz w:val="21"/>
          <w:szCs w:val="21"/>
        </w:rPr>
        <w:t>设备制造、</w:t>
      </w:r>
      <w:r>
        <w:rPr>
          <w:sz w:val="21"/>
          <w:szCs w:val="21"/>
        </w:rPr>
        <w:t>设备到货</w:t>
      </w:r>
      <w:r>
        <w:rPr>
          <w:rFonts w:hint="eastAsia"/>
          <w:sz w:val="21"/>
          <w:szCs w:val="21"/>
        </w:rPr>
        <w:t>、</w:t>
      </w:r>
      <w:r>
        <w:rPr>
          <w:sz w:val="21"/>
          <w:szCs w:val="21"/>
        </w:rPr>
        <w:t>仓储、</w:t>
      </w:r>
      <w:r>
        <w:rPr>
          <w:rFonts w:hint="eastAsia"/>
          <w:sz w:val="21"/>
          <w:szCs w:val="21"/>
        </w:rPr>
        <w:t>现场实施、预</w:t>
      </w:r>
      <w:r>
        <w:rPr>
          <w:sz w:val="21"/>
          <w:szCs w:val="21"/>
        </w:rPr>
        <w:t>验收、试运行、移交等工作进行监督检查</w:t>
      </w:r>
      <w:r>
        <w:rPr>
          <w:rFonts w:hint="eastAsia"/>
          <w:sz w:val="21"/>
          <w:szCs w:val="21"/>
        </w:rPr>
        <w:t>、并组织竣工验收</w:t>
      </w:r>
      <w:r>
        <w:rPr>
          <w:sz w:val="21"/>
          <w:szCs w:val="21"/>
        </w:rPr>
        <w:t>。</w:t>
      </w:r>
    </w:p>
    <w:p w14:paraId="11A20D19">
      <w:pPr>
        <w:pStyle w:val="5"/>
        <w:rPr>
          <w:color w:val="auto"/>
          <w:szCs w:val="21"/>
        </w:rPr>
      </w:pPr>
      <w:r>
        <w:rPr>
          <w:color w:val="auto"/>
          <w:szCs w:val="21"/>
        </w:rPr>
        <w:t>投标人</w:t>
      </w:r>
    </w:p>
    <w:p w14:paraId="79BC3B6D">
      <w:pPr>
        <w:widowControl/>
        <w:numPr>
          <w:ilvl w:val="0"/>
          <w:numId w:val="34"/>
        </w:numPr>
        <w:adjustRightInd w:val="0"/>
        <w:snapToGrid w:val="0"/>
        <w:jc w:val="both"/>
        <w:rPr>
          <w:sz w:val="21"/>
          <w:szCs w:val="21"/>
        </w:rPr>
      </w:pPr>
      <w:r>
        <w:rPr>
          <w:rFonts w:hint="eastAsia"/>
          <w:sz w:val="21"/>
          <w:szCs w:val="21"/>
        </w:rPr>
        <w:t>对本项目设备集成供货负总责。</w:t>
      </w:r>
    </w:p>
    <w:p w14:paraId="1370F3B1">
      <w:pPr>
        <w:widowControl/>
        <w:numPr>
          <w:ilvl w:val="0"/>
          <w:numId w:val="34"/>
        </w:numPr>
        <w:adjustRightInd w:val="0"/>
        <w:snapToGrid w:val="0"/>
        <w:jc w:val="both"/>
        <w:rPr>
          <w:sz w:val="21"/>
          <w:szCs w:val="21"/>
        </w:rPr>
      </w:pPr>
      <w:r>
        <w:rPr>
          <w:rFonts w:hint="eastAsia"/>
          <w:sz w:val="21"/>
          <w:szCs w:val="21"/>
        </w:rPr>
        <w:t>接受招标人的项目管理。</w:t>
      </w:r>
    </w:p>
    <w:p w14:paraId="36F4314B">
      <w:pPr>
        <w:numPr>
          <w:ilvl w:val="0"/>
          <w:numId w:val="34"/>
        </w:numPr>
        <w:rPr>
          <w:sz w:val="21"/>
          <w:szCs w:val="21"/>
        </w:rPr>
      </w:pPr>
      <w:r>
        <w:rPr>
          <w:rFonts w:hint="eastAsia"/>
          <w:sz w:val="21"/>
          <w:szCs w:val="21"/>
        </w:rPr>
        <w:t>进度控制、安全管理、投资控制和质量控制。</w:t>
      </w:r>
    </w:p>
    <w:p w14:paraId="2C95B54A">
      <w:pPr>
        <w:widowControl/>
        <w:numPr>
          <w:ilvl w:val="0"/>
          <w:numId w:val="34"/>
        </w:numPr>
        <w:adjustRightInd w:val="0"/>
        <w:snapToGrid w:val="0"/>
        <w:jc w:val="both"/>
        <w:rPr>
          <w:sz w:val="21"/>
          <w:szCs w:val="21"/>
        </w:rPr>
      </w:pPr>
      <w:r>
        <w:rPr>
          <w:sz w:val="21"/>
          <w:szCs w:val="21"/>
        </w:rPr>
        <w:t>负责</w:t>
      </w:r>
      <w:r>
        <w:rPr>
          <w:rFonts w:hint="eastAsia"/>
          <w:sz w:val="21"/>
          <w:szCs w:val="21"/>
        </w:rPr>
        <w:t>本项目</w:t>
      </w:r>
      <w:r>
        <w:rPr>
          <w:sz w:val="21"/>
          <w:szCs w:val="21"/>
        </w:rPr>
        <w:t>系统方案的优化，配合并参与施工</w:t>
      </w:r>
      <w:r>
        <w:rPr>
          <w:rFonts w:hint="eastAsia"/>
          <w:sz w:val="21"/>
          <w:szCs w:val="21"/>
          <w:lang w:eastAsia="zh-CN"/>
        </w:rPr>
        <w:t>规划</w:t>
      </w:r>
      <w:r>
        <w:rPr>
          <w:rFonts w:hint="eastAsia"/>
          <w:sz w:val="21"/>
          <w:szCs w:val="21"/>
        </w:rPr>
        <w:t>。</w:t>
      </w:r>
    </w:p>
    <w:p w14:paraId="2461FA92">
      <w:pPr>
        <w:widowControl/>
        <w:numPr>
          <w:ilvl w:val="0"/>
          <w:numId w:val="34"/>
        </w:numPr>
        <w:adjustRightInd w:val="0"/>
        <w:snapToGrid w:val="0"/>
        <w:jc w:val="both"/>
        <w:rPr>
          <w:sz w:val="21"/>
          <w:szCs w:val="21"/>
        </w:rPr>
      </w:pPr>
      <w:r>
        <w:rPr>
          <w:sz w:val="21"/>
          <w:szCs w:val="21"/>
        </w:rPr>
        <w:t>负责</w:t>
      </w:r>
      <w:r>
        <w:rPr>
          <w:rFonts w:hint="eastAsia"/>
          <w:sz w:val="21"/>
          <w:szCs w:val="21"/>
        </w:rPr>
        <w:t>本项目</w:t>
      </w:r>
      <w:r>
        <w:rPr>
          <w:sz w:val="21"/>
          <w:szCs w:val="21"/>
        </w:rPr>
        <w:t>内部接口的</w:t>
      </w:r>
      <w:r>
        <w:rPr>
          <w:rFonts w:hint="eastAsia"/>
          <w:sz w:val="21"/>
          <w:szCs w:val="21"/>
          <w:lang w:eastAsia="zh-CN"/>
        </w:rPr>
        <w:t>规划</w:t>
      </w:r>
      <w:r>
        <w:rPr>
          <w:sz w:val="21"/>
          <w:szCs w:val="21"/>
        </w:rPr>
        <w:t>和实施，负责履行本系统和其他系统的接口职责</w:t>
      </w:r>
      <w:r>
        <w:rPr>
          <w:rFonts w:hint="eastAsia"/>
          <w:sz w:val="21"/>
          <w:szCs w:val="21"/>
        </w:rPr>
        <w:t>。</w:t>
      </w:r>
    </w:p>
    <w:p w14:paraId="7A5137BF">
      <w:pPr>
        <w:widowControl/>
        <w:numPr>
          <w:ilvl w:val="0"/>
          <w:numId w:val="34"/>
        </w:numPr>
        <w:adjustRightInd w:val="0"/>
        <w:snapToGrid w:val="0"/>
        <w:jc w:val="both"/>
        <w:rPr>
          <w:sz w:val="21"/>
          <w:szCs w:val="21"/>
        </w:rPr>
      </w:pPr>
      <w:r>
        <w:rPr>
          <w:sz w:val="21"/>
          <w:szCs w:val="21"/>
        </w:rPr>
        <w:t>负责设备</w:t>
      </w:r>
      <w:r>
        <w:rPr>
          <w:rFonts w:hint="eastAsia"/>
          <w:sz w:val="21"/>
          <w:szCs w:val="21"/>
        </w:rPr>
        <w:t>及材料</w:t>
      </w:r>
      <w:r>
        <w:rPr>
          <w:sz w:val="21"/>
          <w:szCs w:val="21"/>
        </w:rPr>
        <w:t>的</w:t>
      </w:r>
      <w:r>
        <w:rPr>
          <w:rFonts w:hint="eastAsia"/>
          <w:sz w:val="21"/>
          <w:szCs w:val="21"/>
        </w:rPr>
        <w:t>样机制造、</w:t>
      </w:r>
      <w:r>
        <w:rPr>
          <w:sz w:val="21"/>
          <w:szCs w:val="21"/>
        </w:rPr>
        <w:t>工厂制造、出厂检验及工程验收</w:t>
      </w:r>
      <w:r>
        <w:rPr>
          <w:rFonts w:hint="eastAsia"/>
          <w:sz w:val="21"/>
          <w:szCs w:val="21"/>
        </w:rPr>
        <w:t>。</w:t>
      </w:r>
    </w:p>
    <w:p w14:paraId="04E2C87A">
      <w:pPr>
        <w:widowControl/>
        <w:numPr>
          <w:ilvl w:val="0"/>
          <w:numId w:val="34"/>
        </w:numPr>
        <w:adjustRightInd w:val="0"/>
        <w:snapToGrid w:val="0"/>
        <w:jc w:val="both"/>
        <w:rPr>
          <w:sz w:val="21"/>
          <w:szCs w:val="21"/>
        </w:rPr>
      </w:pPr>
      <w:r>
        <w:rPr>
          <w:rFonts w:hint="eastAsia"/>
          <w:sz w:val="21"/>
          <w:szCs w:val="21"/>
        </w:rPr>
        <w:t>负责</w:t>
      </w:r>
      <w:r>
        <w:rPr>
          <w:rFonts w:hint="eastAsia"/>
          <w:sz w:val="21"/>
          <w:szCs w:val="21"/>
          <w:lang w:eastAsia="zh-CN"/>
        </w:rPr>
        <w:t>规划、部署。</w:t>
      </w:r>
    </w:p>
    <w:p w14:paraId="16A0E44D">
      <w:pPr>
        <w:widowControl/>
        <w:numPr>
          <w:ilvl w:val="0"/>
          <w:numId w:val="34"/>
        </w:numPr>
        <w:adjustRightInd w:val="0"/>
        <w:snapToGrid w:val="0"/>
        <w:jc w:val="both"/>
        <w:rPr>
          <w:sz w:val="21"/>
          <w:szCs w:val="21"/>
        </w:rPr>
      </w:pPr>
      <w:r>
        <w:rPr>
          <w:sz w:val="21"/>
          <w:szCs w:val="21"/>
        </w:rPr>
        <w:t>负责</w:t>
      </w:r>
      <w:r>
        <w:rPr>
          <w:rFonts w:hint="eastAsia"/>
          <w:sz w:val="21"/>
          <w:szCs w:val="21"/>
        </w:rPr>
        <w:t>本项目</w:t>
      </w:r>
      <w:r>
        <w:rPr>
          <w:sz w:val="21"/>
          <w:szCs w:val="21"/>
        </w:rPr>
        <w:t>设备</w:t>
      </w:r>
      <w:r>
        <w:rPr>
          <w:rFonts w:hint="eastAsia"/>
          <w:sz w:val="21"/>
          <w:szCs w:val="21"/>
        </w:rPr>
        <w:t>及材料</w:t>
      </w:r>
      <w:r>
        <w:rPr>
          <w:sz w:val="21"/>
          <w:szCs w:val="21"/>
        </w:rPr>
        <w:t>的供货</w:t>
      </w:r>
      <w:r>
        <w:rPr>
          <w:rFonts w:hint="eastAsia"/>
          <w:sz w:val="21"/>
          <w:szCs w:val="21"/>
        </w:rPr>
        <w:t>。</w:t>
      </w:r>
    </w:p>
    <w:p w14:paraId="149349EE">
      <w:pPr>
        <w:widowControl/>
        <w:numPr>
          <w:ilvl w:val="0"/>
          <w:numId w:val="34"/>
        </w:numPr>
        <w:adjustRightInd w:val="0"/>
        <w:snapToGrid w:val="0"/>
        <w:jc w:val="both"/>
        <w:rPr>
          <w:sz w:val="21"/>
          <w:szCs w:val="21"/>
        </w:rPr>
      </w:pPr>
      <w:r>
        <w:rPr>
          <w:rFonts w:hint="eastAsia"/>
          <w:sz w:val="21"/>
          <w:szCs w:val="21"/>
        </w:rPr>
        <w:t>负责本项目设备及材料运输、交货，可按照招标人要求，分期分批完成；</w:t>
      </w:r>
    </w:p>
    <w:p w14:paraId="2FC8B026">
      <w:pPr>
        <w:widowControl/>
        <w:numPr>
          <w:ilvl w:val="0"/>
          <w:numId w:val="34"/>
        </w:numPr>
        <w:adjustRightInd w:val="0"/>
        <w:snapToGrid w:val="0"/>
        <w:jc w:val="both"/>
        <w:rPr>
          <w:sz w:val="21"/>
          <w:szCs w:val="21"/>
        </w:rPr>
      </w:pPr>
      <w:r>
        <w:rPr>
          <w:rFonts w:hint="eastAsia"/>
          <w:sz w:val="21"/>
          <w:szCs w:val="21"/>
        </w:rPr>
        <w:t>实施本项目设备及材料到货检验、开箱检验；</w:t>
      </w:r>
    </w:p>
    <w:p w14:paraId="7F5D1A4B">
      <w:pPr>
        <w:widowControl/>
        <w:numPr>
          <w:ilvl w:val="0"/>
          <w:numId w:val="34"/>
        </w:numPr>
        <w:adjustRightInd w:val="0"/>
        <w:snapToGrid w:val="0"/>
        <w:jc w:val="both"/>
        <w:rPr>
          <w:sz w:val="21"/>
          <w:szCs w:val="21"/>
        </w:rPr>
      </w:pPr>
      <w:r>
        <w:rPr>
          <w:sz w:val="21"/>
          <w:szCs w:val="21"/>
        </w:rPr>
        <w:t>负责</w:t>
      </w:r>
      <w:r>
        <w:rPr>
          <w:rFonts w:hint="eastAsia"/>
          <w:sz w:val="21"/>
          <w:szCs w:val="21"/>
        </w:rPr>
        <w:t>本项目</w:t>
      </w:r>
      <w:r>
        <w:rPr>
          <w:sz w:val="21"/>
          <w:szCs w:val="21"/>
        </w:rPr>
        <w:t>设备</w:t>
      </w:r>
      <w:r>
        <w:rPr>
          <w:rFonts w:hint="eastAsia"/>
          <w:sz w:val="21"/>
          <w:szCs w:val="21"/>
        </w:rPr>
        <w:t>及材料</w:t>
      </w:r>
      <w:r>
        <w:rPr>
          <w:rFonts w:hint="eastAsia"/>
          <w:sz w:val="21"/>
          <w:szCs w:val="21"/>
          <w:lang w:eastAsia="zh-CN"/>
        </w:rPr>
        <w:t>准备与部署</w:t>
      </w:r>
      <w:r>
        <w:rPr>
          <w:rFonts w:hint="eastAsia"/>
          <w:sz w:val="21"/>
          <w:szCs w:val="21"/>
        </w:rPr>
        <w:t>（如本项目系统机柜内部设备间连线，本项目系统机柜间连线、板/卡</w:t>
      </w:r>
      <w:r>
        <w:rPr>
          <w:rFonts w:hint="eastAsia"/>
          <w:sz w:val="21"/>
          <w:szCs w:val="21"/>
          <w:lang w:eastAsia="zh-CN"/>
        </w:rPr>
        <w:t>部署</w:t>
      </w:r>
      <w:r>
        <w:rPr>
          <w:rFonts w:hint="eastAsia"/>
          <w:sz w:val="21"/>
          <w:szCs w:val="21"/>
        </w:rPr>
        <w:t>、软件</w:t>
      </w:r>
      <w:r>
        <w:rPr>
          <w:rFonts w:hint="eastAsia"/>
          <w:sz w:val="21"/>
          <w:szCs w:val="21"/>
          <w:lang w:eastAsia="zh-CN"/>
        </w:rPr>
        <w:t>部署</w:t>
      </w:r>
      <w:r>
        <w:rPr>
          <w:rFonts w:hint="eastAsia"/>
          <w:sz w:val="21"/>
          <w:szCs w:val="21"/>
        </w:rPr>
        <w:t>等）</w:t>
      </w:r>
      <w:r>
        <w:rPr>
          <w:sz w:val="21"/>
          <w:szCs w:val="21"/>
        </w:rPr>
        <w:t>；</w:t>
      </w:r>
    </w:p>
    <w:p w14:paraId="63D48F34">
      <w:pPr>
        <w:widowControl/>
        <w:numPr>
          <w:ilvl w:val="0"/>
          <w:numId w:val="34"/>
        </w:numPr>
        <w:adjustRightInd w:val="0"/>
        <w:snapToGrid w:val="0"/>
        <w:jc w:val="both"/>
        <w:rPr>
          <w:sz w:val="21"/>
          <w:szCs w:val="21"/>
        </w:rPr>
      </w:pPr>
      <w:r>
        <w:rPr>
          <w:sz w:val="21"/>
          <w:szCs w:val="21"/>
        </w:rPr>
        <w:t>负责</w:t>
      </w:r>
      <w:r>
        <w:rPr>
          <w:rFonts w:hint="eastAsia"/>
          <w:sz w:val="21"/>
          <w:szCs w:val="21"/>
        </w:rPr>
        <w:t>本项目系统调试大纲的编制；</w:t>
      </w:r>
    </w:p>
    <w:p w14:paraId="705E0298">
      <w:pPr>
        <w:widowControl/>
        <w:numPr>
          <w:ilvl w:val="0"/>
          <w:numId w:val="34"/>
        </w:numPr>
        <w:adjustRightInd w:val="0"/>
        <w:snapToGrid w:val="0"/>
        <w:jc w:val="both"/>
        <w:rPr>
          <w:sz w:val="21"/>
          <w:szCs w:val="21"/>
        </w:rPr>
      </w:pPr>
      <w:r>
        <w:rPr>
          <w:sz w:val="21"/>
          <w:szCs w:val="21"/>
        </w:rPr>
        <w:t>负责</w:t>
      </w:r>
      <w:r>
        <w:rPr>
          <w:rFonts w:hint="eastAsia"/>
          <w:sz w:val="21"/>
          <w:szCs w:val="21"/>
        </w:rPr>
        <w:t>本项目</w:t>
      </w:r>
      <w:r>
        <w:rPr>
          <w:rFonts w:hint="eastAsia"/>
          <w:sz w:val="21"/>
          <w:szCs w:val="21"/>
          <w:lang w:eastAsia="zh-CN"/>
        </w:rPr>
        <w:t>管理云平台</w:t>
      </w:r>
      <w:r>
        <w:rPr>
          <w:rFonts w:hint="eastAsia"/>
          <w:sz w:val="21"/>
          <w:szCs w:val="21"/>
        </w:rPr>
        <w:t>系统及相关设备的</w:t>
      </w:r>
      <w:r>
        <w:rPr>
          <w:sz w:val="21"/>
          <w:szCs w:val="21"/>
        </w:rPr>
        <w:t>试运行</w:t>
      </w:r>
      <w:r>
        <w:rPr>
          <w:rFonts w:hint="eastAsia"/>
          <w:sz w:val="21"/>
          <w:szCs w:val="21"/>
        </w:rPr>
        <w:t>、竣工验收等工作</w:t>
      </w:r>
      <w:r>
        <w:rPr>
          <w:sz w:val="21"/>
          <w:szCs w:val="21"/>
        </w:rPr>
        <w:t>；</w:t>
      </w:r>
    </w:p>
    <w:p w14:paraId="6B79B1AE">
      <w:pPr>
        <w:widowControl/>
        <w:numPr>
          <w:ilvl w:val="0"/>
          <w:numId w:val="34"/>
        </w:numPr>
        <w:adjustRightInd w:val="0"/>
        <w:snapToGrid w:val="0"/>
        <w:jc w:val="both"/>
        <w:rPr>
          <w:sz w:val="21"/>
          <w:szCs w:val="21"/>
        </w:rPr>
      </w:pPr>
      <w:r>
        <w:rPr>
          <w:sz w:val="21"/>
          <w:szCs w:val="21"/>
        </w:rPr>
        <w:t>负责</w:t>
      </w:r>
      <w:r>
        <w:rPr>
          <w:rFonts w:hint="eastAsia"/>
          <w:sz w:val="21"/>
          <w:szCs w:val="21"/>
        </w:rPr>
        <w:t>相关</w:t>
      </w:r>
      <w:r>
        <w:rPr>
          <w:sz w:val="21"/>
          <w:szCs w:val="21"/>
        </w:rPr>
        <w:t>人员</w:t>
      </w:r>
      <w:r>
        <w:rPr>
          <w:rFonts w:hint="eastAsia"/>
          <w:sz w:val="21"/>
          <w:szCs w:val="21"/>
        </w:rPr>
        <w:t>的</w:t>
      </w:r>
      <w:r>
        <w:rPr>
          <w:sz w:val="21"/>
          <w:szCs w:val="21"/>
        </w:rPr>
        <w:t>培训、质保期的服务；</w:t>
      </w:r>
    </w:p>
    <w:p w14:paraId="37D0E812">
      <w:pPr>
        <w:widowControl/>
        <w:numPr>
          <w:ilvl w:val="0"/>
          <w:numId w:val="34"/>
        </w:numPr>
        <w:adjustRightInd w:val="0"/>
        <w:snapToGrid w:val="0"/>
        <w:jc w:val="both"/>
        <w:rPr>
          <w:sz w:val="21"/>
          <w:szCs w:val="21"/>
        </w:rPr>
      </w:pPr>
      <w:r>
        <w:rPr>
          <w:rFonts w:hint="eastAsia"/>
          <w:sz w:val="21"/>
          <w:szCs w:val="21"/>
        </w:rPr>
        <w:t>本项目设备寿命期不低于15年，投标人在设备寿命周期内对设备的功能和安全性负责。</w:t>
      </w:r>
    </w:p>
    <w:p w14:paraId="2168B8B4">
      <w:pPr>
        <w:pStyle w:val="4"/>
        <w:ind w:left="615"/>
        <w:rPr>
          <w:sz w:val="21"/>
          <w:szCs w:val="21"/>
        </w:rPr>
      </w:pPr>
      <w:bookmarkStart w:id="491" w:name="_Toc212875126"/>
      <w:bookmarkStart w:id="492" w:name="_Toc212869972"/>
      <w:bookmarkStart w:id="493" w:name="_Toc128139345"/>
      <w:bookmarkStart w:id="494" w:name="_Toc128137436"/>
      <w:bookmarkStart w:id="495" w:name="_Toc218144432"/>
      <w:bookmarkStart w:id="496" w:name="_Toc128223307"/>
      <w:bookmarkStart w:id="497" w:name="_Toc128120977"/>
      <w:bookmarkStart w:id="498" w:name="_Toc128141503"/>
      <w:bookmarkStart w:id="499" w:name="_Toc214703972"/>
      <w:bookmarkStart w:id="500" w:name="_Toc214704470"/>
      <w:bookmarkStart w:id="501" w:name="_Toc214704221"/>
      <w:bookmarkStart w:id="502" w:name="_Toc218147610"/>
      <w:bookmarkStart w:id="503" w:name="_Toc218145234"/>
      <w:bookmarkStart w:id="504" w:name="_Toc218145816"/>
      <w:bookmarkStart w:id="505" w:name="_Toc128141026"/>
      <w:bookmarkStart w:id="506" w:name="_Toc218141230"/>
      <w:bookmarkStart w:id="507" w:name="_Toc218147359"/>
      <w:bookmarkStart w:id="508" w:name="_Toc218143891"/>
      <w:bookmarkStart w:id="509" w:name="_Toc213477520"/>
      <w:bookmarkStart w:id="510" w:name="_Toc218143460"/>
      <w:bookmarkStart w:id="511" w:name="_Toc212873934"/>
      <w:bookmarkStart w:id="512" w:name="_Toc213407869"/>
      <w:bookmarkStart w:id="513" w:name="_Toc128139132"/>
      <w:bookmarkStart w:id="514" w:name="_Toc218142200"/>
      <w:bookmarkStart w:id="515" w:name="_Toc128140601"/>
      <w:bookmarkStart w:id="516" w:name="_Toc213477274"/>
      <w:bookmarkStart w:id="517" w:name="_Toc128139626"/>
      <w:bookmarkStart w:id="518" w:name="_Toc128141204"/>
      <w:bookmarkStart w:id="519" w:name="_Toc128138360"/>
      <w:bookmarkStart w:id="520" w:name="_Toc215885568"/>
      <w:bookmarkStart w:id="521" w:name="_Toc218141698"/>
      <w:bookmarkStart w:id="522" w:name="_Toc218144934"/>
      <w:bookmarkStart w:id="523" w:name="_Toc218144181"/>
      <w:bookmarkStart w:id="524" w:name="_Toc218144683"/>
      <w:bookmarkStart w:id="525" w:name="_Toc128122947"/>
      <w:bookmarkStart w:id="526" w:name="_Toc128138730"/>
      <w:bookmarkStart w:id="527" w:name="_Toc217105785"/>
      <w:bookmarkStart w:id="528" w:name="_Toc130291582"/>
      <w:bookmarkStart w:id="529" w:name="_Toc128137852"/>
      <w:bookmarkStart w:id="530" w:name="_Toc131867911"/>
      <w:bookmarkStart w:id="531" w:name="_Toc218141949"/>
      <w:bookmarkStart w:id="532" w:name="_Toc212872614"/>
      <w:bookmarkStart w:id="533" w:name="_Toc215889481"/>
      <w:bookmarkStart w:id="534" w:name="_Toc128140034"/>
      <w:bookmarkStart w:id="535" w:name="_Toc231185189"/>
      <w:bookmarkStart w:id="536" w:name="_Toc234326023"/>
      <w:bookmarkStart w:id="537" w:name="_Toc234326559"/>
      <w:bookmarkStart w:id="538" w:name="_Toc234326291"/>
      <w:bookmarkStart w:id="539" w:name="_Toc30454"/>
      <w:bookmarkStart w:id="540" w:name="_Toc259981556"/>
      <w:bookmarkStart w:id="541" w:name="_Toc234326827"/>
      <w:bookmarkStart w:id="542" w:name="_Toc237702929"/>
      <w:bookmarkStart w:id="543" w:name="_Toc290373447"/>
      <w:bookmarkStart w:id="544" w:name="_Toc28001"/>
      <w:r>
        <w:rPr>
          <w:sz w:val="21"/>
          <w:szCs w:val="21"/>
        </w:rPr>
        <w:t>接口</w:t>
      </w:r>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r>
        <w:rPr>
          <w:sz w:val="21"/>
          <w:szCs w:val="21"/>
        </w:rPr>
        <w:t>管理责任</w:t>
      </w:r>
      <w:bookmarkEnd w:id="535"/>
      <w:bookmarkEnd w:id="536"/>
      <w:bookmarkEnd w:id="537"/>
      <w:bookmarkEnd w:id="538"/>
      <w:bookmarkEnd w:id="539"/>
      <w:bookmarkEnd w:id="540"/>
      <w:bookmarkEnd w:id="541"/>
      <w:bookmarkEnd w:id="542"/>
      <w:bookmarkEnd w:id="543"/>
      <w:bookmarkEnd w:id="544"/>
    </w:p>
    <w:p w14:paraId="3FF8F053">
      <w:pPr>
        <w:pStyle w:val="5"/>
        <w:rPr>
          <w:color w:val="auto"/>
          <w:szCs w:val="21"/>
        </w:rPr>
      </w:pPr>
      <w:r>
        <w:rPr>
          <w:color w:val="auto"/>
          <w:szCs w:val="21"/>
        </w:rPr>
        <w:t>投标人应对</w:t>
      </w:r>
      <w:r>
        <w:rPr>
          <w:rFonts w:hint="eastAsia"/>
          <w:color w:val="auto"/>
          <w:szCs w:val="21"/>
        </w:rPr>
        <w:t>本项目</w:t>
      </w:r>
      <w:r>
        <w:rPr>
          <w:color w:val="auto"/>
          <w:szCs w:val="21"/>
        </w:rPr>
        <w:t>接口协调、</w:t>
      </w:r>
      <w:r>
        <w:rPr>
          <w:rFonts w:hint="eastAsia"/>
          <w:color w:val="auto"/>
          <w:szCs w:val="21"/>
          <w:lang w:eastAsia="zh-CN"/>
        </w:rPr>
        <w:t>规划</w:t>
      </w:r>
      <w:r>
        <w:rPr>
          <w:color w:val="auto"/>
          <w:szCs w:val="21"/>
        </w:rPr>
        <w:t>负责。</w:t>
      </w:r>
    </w:p>
    <w:p w14:paraId="7A017888">
      <w:pPr>
        <w:pStyle w:val="5"/>
        <w:rPr>
          <w:color w:val="auto"/>
          <w:szCs w:val="21"/>
        </w:rPr>
      </w:pPr>
      <w:r>
        <w:rPr>
          <w:color w:val="auto"/>
          <w:szCs w:val="21"/>
        </w:rPr>
        <w:t>投标人应遵从招标人对有关接口方面的协调工作。</w:t>
      </w:r>
    </w:p>
    <w:p w14:paraId="3FDFD221">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545" w:name="_Toc14739"/>
      <w:bookmarkStart w:id="546" w:name="_Toc10813"/>
      <w:r>
        <w:rPr>
          <w:rFonts w:ascii="Times New Roman" w:hAnsi="Times New Roman" w:eastAsia="宋体"/>
          <w:b/>
          <w:bCs/>
          <w:sz w:val="21"/>
          <w:szCs w:val="21"/>
        </w:rPr>
        <w:t>项目管理</w:t>
      </w:r>
      <w:bookmarkEnd w:id="227"/>
      <w:bookmarkEnd w:id="228"/>
      <w:bookmarkEnd w:id="229"/>
      <w:bookmarkEnd w:id="230"/>
      <w:bookmarkEnd w:id="231"/>
      <w:bookmarkEnd w:id="232"/>
      <w:bookmarkEnd w:id="233"/>
      <w:bookmarkEnd w:id="234"/>
      <w:bookmarkEnd w:id="235"/>
      <w:bookmarkEnd w:id="236"/>
      <w:bookmarkEnd w:id="545"/>
      <w:bookmarkEnd w:id="546"/>
    </w:p>
    <w:p w14:paraId="3EB93163">
      <w:pPr>
        <w:widowControl/>
        <w:tabs>
          <w:tab w:val="left" w:pos="360"/>
        </w:tabs>
        <w:adjustRightInd w:val="0"/>
        <w:snapToGrid w:val="0"/>
        <w:ind w:left="480"/>
        <w:rPr>
          <w:sz w:val="21"/>
          <w:szCs w:val="21"/>
        </w:rPr>
      </w:pPr>
      <w:r>
        <w:rPr>
          <w:rFonts w:hint="eastAsia"/>
          <w:sz w:val="21"/>
          <w:szCs w:val="21"/>
        </w:rPr>
        <w:t>本项目采用系统项目管理运作模式，为保证工程的顺利实施，投标人须对工厂试验、包装、运输、交货、测试、用户培训、技术文件和质量保证等方面进行全过程的项目管理，确保本项目按期、保质完成。</w:t>
      </w:r>
    </w:p>
    <w:p w14:paraId="77E84629">
      <w:pPr>
        <w:widowControl/>
        <w:tabs>
          <w:tab w:val="left" w:pos="360"/>
        </w:tabs>
        <w:adjustRightInd w:val="0"/>
        <w:snapToGrid w:val="0"/>
        <w:ind w:left="480"/>
        <w:rPr>
          <w:sz w:val="21"/>
          <w:szCs w:val="21"/>
        </w:rPr>
      </w:pPr>
      <w:r>
        <w:rPr>
          <w:rFonts w:hint="eastAsia"/>
          <w:sz w:val="21"/>
          <w:szCs w:val="21"/>
        </w:rPr>
        <w:t>系统设备质量保证期从竣工验收合格证书签署之日开始，质量保证期为3年。</w:t>
      </w:r>
    </w:p>
    <w:p w14:paraId="12BC22F6">
      <w:pPr>
        <w:pStyle w:val="4"/>
        <w:rPr>
          <w:sz w:val="21"/>
          <w:szCs w:val="21"/>
        </w:rPr>
      </w:pPr>
      <w:bookmarkStart w:id="547" w:name="_Toc128120955"/>
      <w:bookmarkStart w:id="548" w:name="_Toc128138708"/>
      <w:bookmarkStart w:id="549" w:name="_Toc218141209"/>
      <w:bookmarkStart w:id="550" w:name="_Toc212869951"/>
      <w:bookmarkStart w:id="551" w:name="_Toc128138092"/>
      <w:bookmarkStart w:id="552" w:name="_Toc128141182"/>
      <w:bookmarkStart w:id="553" w:name="_Toc218141677"/>
      <w:bookmarkStart w:id="554" w:name="_Toc234326001"/>
      <w:bookmarkStart w:id="555" w:name="_Toc234326537"/>
      <w:bookmarkStart w:id="556" w:name="_Toc1536"/>
      <w:bookmarkStart w:id="557" w:name="_Toc128141481"/>
      <w:bookmarkStart w:id="558" w:name="_Toc217105764"/>
      <w:bookmarkStart w:id="559" w:name="_Toc231185168"/>
      <w:bookmarkStart w:id="560" w:name="_Toc128139323"/>
      <w:bookmarkStart w:id="561" w:name="_Toc218145213"/>
      <w:bookmarkStart w:id="562" w:name="_Toc213407848"/>
      <w:bookmarkStart w:id="563" w:name="_Toc218145795"/>
      <w:bookmarkStart w:id="564" w:name="_Toc218143870"/>
      <w:bookmarkStart w:id="565" w:name="_Toc128139604"/>
      <w:bookmarkStart w:id="566" w:name="_Toc23326"/>
      <w:bookmarkStart w:id="567" w:name="_Toc218142179"/>
      <w:bookmarkStart w:id="568" w:name="_Toc237702907"/>
      <w:bookmarkStart w:id="569" w:name="_Toc218147338"/>
      <w:bookmarkStart w:id="570" w:name="_Toc131867889"/>
      <w:bookmarkStart w:id="571" w:name="_Toc259981534"/>
      <w:bookmarkStart w:id="572" w:name="_Toc215889460"/>
      <w:bookmarkStart w:id="573" w:name="_Toc218144160"/>
      <w:bookmarkStart w:id="574" w:name="_Toc128122925"/>
      <w:bookmarkStart w:id="575" w:name="_Toc218144411"/>
      <w:bookmarkStart w:id="576" w:name="_Toc218147589"/>
      <w:bookmarkStart w:id="577" w:name="_Toc234326269"/>
      <w:bookmarkStart w:id="578" w:name="_Toc215885547"/>
      <w:bookmarkStart w:id="579" w:name="_Toc218141928"/>
      <w:bookmarkStart w:id="580" w:name="_Toc130291560"/>
      <w:bookmarkStart w:id="581" w:name="_Toc218144662"/>
      <w:bookmarkStart w:id="582" w:name="_Toc290373419"/>
      <w:bookmarkStart w:id="583" w:name="_Toc128141004"/>
      <w:bookmarkStart w:id="584" w:name="_Toc213477253"/>
      <w:bookmarkStart w:id="585" w:name="_Toc128138338"/>
      <w:bookmarkStart w:id="586" w:name="_Toc212872593"/>
      <w:bookmarkStart w:id="587" w:name="_Toc218143439"/>
      <w:bookmarkStart w:id="588" w:name="_Toc212873913"/>
      <w:bookmarkStart w:id="589" w:name="_Toc214704449"/>
      <w:bookmarkStart w:id="590" w:name="_Toc234326805"/>
      <w:bookmarkStart w:id="591" w:name="_Toc218144913"/>
      <w:bookmarkStart w:id="592" w:name="_Toc128140579"/>
      <w:bookmarkStart w:id="593" w:name="_Toc128140012"/>
      <w:bookmarkStart w:id="594" w:name="_Toc128223285"/>
      <w:bookmarkStart w:id="595" w:name="_Toc213477499"/>
      <w:bookmarkStart w:id="596" w:name="_Toc128139110"/>
      <w:bookmarkStart w:id="597" w:name="_Toc128137830"/>
      <w:bookmarkStart w:id="598" w:name="_Toc214703951"/>
      <w:bookmarkStart w:id="599" w:name="_Toc214704200"/>
      <w:r>
        <w:rPr>
          <w:sz w:val="21"/>
          <w:szCs w:val="21"/>
        </w:rPr>
        <w:t>项目组织机构</w:t>
      </w:r>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p>
    <w:p w14:paraId="139443AD">
      <w:pPr>
        <w:widowControl/>
        <w:tabs>
          <w:tab w:val="left" w:pos="370"/>
        </w:tabs>
        <w:adjustRightInd w:val="0"/>
        <w:snapToGrid w:val="0"/>
        <w:ind w:left="480"/>
        <w:rPr>
          <w:sz w:val="21"/>
          <w:szCs w:val="21"/>
        </w:rPr>
      </w:pPr>
      <w:r>
        <w:rPr>
          <w:sz w:val="21"/>
          <w:szCs w:val="21"/>
        </w:rPr>
        <w:t>本项目组织机构设置地点为南宁市。投标人应按以下主要职能</w:t>
      </w:r>
      <w:r>
        <w:rPr>
          <w:rFonts w:hint="eastAsia"/>
          <w:sz w:val="21"/>
          <w:szCs w:val="21"/>
        </w:rPr>
        <w:t>（</w:t>
      </w:r>
      <w:r>
        <w:rPr>
          <w:sz w:val="21"/>
          <w:szCs w:val="21"/>
        </w:rPr>
        <w:t>包括但不限于</w:t>
      </w:r>
      <w:r>
        <w:rPr>
          <w:rFonts w:hint="eastAsia"/>
          <w:sz w:val="21"/>
          <w:szCs w:val="21"/>
        </w:rPr>
        <w:t>）</w:t>
      </w:r>
      <w:r>
        <w:rPr>
          <w:sz w:val="21"/>
          <w:szCs w:val="21"/>
        </w:rPr>
        <w:t>，</w:t>
      </w:r>
      <w:r>
        <w:rPr>
          <w:rFonts w:hint="eastAsia"/>
          <w:sz w:val="21"/>
          <w:szCs w:val="21"/>
        </w:rPr>
        <w:t>在合同签订1个月之内，</w:t>
      </w:r>
      <w:r>
        <w:rPr>
          <w:sz w:val="21"/>
          <w:szCs w:val="21"/>
        </w:rPr>
        <w:t>设立相应的组织机构：</w:t>
      </w:r>
    </w:p>
    <w:p w14:paraId="3E4C4DA7">
      <w:pPr>
        <w:widowControl/>
        <w:numPr>
          <w:ilvl w:val="0"/>
          <w:numId w:val="34"/>
        </w:numPr>
        <w:adjustRightInd w:val="0"/>
        <w:snapToGrid w:val="0"/>
        <w:jc w:val="both"/>
        <w:rPr>
          <w:sz w:val="21"/>
          <w:szCs w:val="21"/>
        </w:rPr>
      </w:pPr>
      <w:r>
        <w:rPr>
          <w:sz w:val="21"/>
          <w:szCs w:val="21"/>
        </w:rPr>
        <w:t>项目管理：按照招标人的指令和要求，专职负责本项目工程的实施。</w:t>
      </w:r>
    </w:p>
    <w:p w14:paraId="48F47148">
      <w:pPr>
        <w:widowControl/>
        <w:numPr>
          <w:ilvl w:val="0"/>
          <w:numId w:val="34"/>
        </w:numPr>
        <w:adjustRightInd w:val="0"/>
        <w:snapToGrid w:val="0"/>
        <w:jc w:val="both"/>
        <w:rPr>
          <w:sz w:val="21"/>
          <w:szCs w:val="21"/>
        </w:rPr>
      </w:pPr>
      <w:r>
        <w:rPr>
          <w:sz w:val="21"/>
          <w:szCs w:val="21"/>
        </w:rPr>
        <w:t>技术管理：按照招标人的指令和要求，专职负责本项目中各个阶段的技术工作</w:t>
      </w:r>
      <w:r>
        <w:rPr>
          <w:rFonts w:hint="eastAsia"/>
          <w:sz w:val="21"/>
          <w:szCs w:val="21"/>
        </w:rPr>
        <w:t>，</w:t>
      </w:r>
      <w:r>
        <w:rPr>
          <w:sz w:val="21"/>
          <w:szCs w:val="21"/>
        </w:rPr>
        <w:t>监督所供设备的软、硬件</w:t>
      </w:r>
      <w:r>
        <w:rPr>
          <w:rFonts w:hint="eastAsia"/>
          <w:sz w:val="21"/>
          <w:szCs w:val="21"/>
          <w:lang w:eastAsia="zh-CN"/>
        </w:rPr>
        <w:t>规划</w:t>
      </w:r>
      <w:r>
        <w:rPr>
          <w:rFonts w:hint="eastAsia"/>
          <w:sz w:val="21"/>
          <w:szCs w:val="21"/>
        </w:rPr>
        <w:t>和产品质量</w:t>
      </w:r>
      <w:r>
        <w:rPr>
          <w:sz w:val="21"/>
          <w:szCs w:val="21"/>
        </w:rPr>
        <w:t>。</w:t>
      </w:r>
    </w:p>
    <w:p w14:paraId="5735DE0C">
      <w:pPr>
        <w:widowControl/>
        <w:numPr>
          <w:ilvl w:val="0"/>
          <w:numId w:val="34"/>
        </w:numPr>
        <w:adjustRightInd w:val="0"/>
        <w:snapToGrid w:val="0"/>
        <w:jc w:val="both"/>
        <w:rPr>
          <w:sz w:val="21"/>
          <w:szCs w:val="21"/>
        </w:rPr>
      </w:pPr>
      <w:r>
        <w:rPr>
          <w:sz w:val="21"/>
          <w:szCs w:val="21"/>
        </w:rPr>
        <w:t>生产</w:t>
      </w:r>
      <w:r>
        <w:rPr>
          <w:rFonts w:hint="eastAsia"/>
          <w:sz w:val="21"/>
          <w:szCs w:val="21"/>
        </w:rPr>
        <w:t>/</w:t>
      </w:r>
      <w:r>
        <w:rPr>
          <w:sz w:val="21"/>
          <w:szCs w:val="21"/>
        </w:rPr>
        <w:t>制造管理：按照合同的要求</w:t>
      </w:r>
      <w:r>
        <w:rPr>
          <w:rFonts w:hint="eastAsia"/>
          <w:sz w:val="21"/>
          <w:szCs w:val="21"/>
        </w:rPr>
        <w:t>，负责</w:t>
      </w:r>
      <w:r>
        <w:rPr>
          <w:sz w:val="21"/>
          <w:szCs w:val="21"/>
        </w:rPr>
        <w:t>所供设备的主要原材料采购和设备的生产制造。</w:t>
      </w:r>
    </w:p>
    <w:p w14:paraId="027F842E">
      <w:pPr>
        <w:widowControl/>
        <w:numPr>
          <w:ilvl w:val="0"/>
          <w:numId w:val="34"/>
        </w:numPr>
        <w:adjustRightInd w:val="0"/>
        <w:snapToGrid w:val="0"/>
        <w:jc w:val="both"/>
        <w:rPr>
          <w:sz w:val="21"/>
          <w:szCs w:val="21"/>
        </w:rPr>
      </w:pPr>
      <w:r>
        <w:rPr>
          <w:sz w:val="21"/>
          <w:szCs w:val="21"/>
        </w:rPr>
        <w:t>试验</w:t>
      </w:r>
      <w:r>
        <w:rPr>
          <w:rFonts w:hint="eastAsia"/>
          <w:sz w:val="21"/>
          <w:szCs w:val="21"/>
        </w:rPr>
        <w:t>/</w:t>
      </w:r>
      <w:r>
        <w:rPr>
          <w:sz w:val="21"/>
          <w:szCs w:val="21"/>
        </w:rPr>
        <w:t>测试管理：</w:t>
      </w:r>
      <w:r>
        <w:rPr>
          <w:rFonts w:hint="eastAsia"/>
          <w:sz w:val="21"/>
          <w:szCs w:val="21"/>
        </w:rPr>
        <w:t>按照合同的要求，</w:t>
      </w:r>
      <w:r>
        <w:rPr>
          <w:sz w:val="21"/>
          <w:szCs w:val="21"/>
        </w:rPr>
        <w:t>组织编制并策划试验</w:t>
      </w:r>
      <w:r>
        <w:rPr>
          <w:rFonts w:hint="eastAsia"/>
          <w:sz w:val="21"/>
          <w:szCs w:val="21"/>
        </w:rPr>
        <w:t>、测试、工厂检验计划，负责各种检验的实行</w:t>
      </w:r>
      <w:r>
        <w:rPr>
          <w:sz w:val="21"/>
          <w:szCs w:val="21"/>
        </w:rPr>
        <w:t>。</w:t>
      </w:r>
    </w:p>
    <w:p w14:paraId="3FC30C5E">
      <w:pPr>
        <w:widowControl/>
        <w:numPr>
          <w:ilvl w:val="0"/>
          <w:numId w:val="34"/>
        </w:numPr>
        <w:adjustRightInd w:val="0"/>
        <w:snapToGrid w:val="0"/>
        <w:jc w:val="both"/>
        <w:rPr>
          <w:sz w:val="21"/>
          <w:szCs w:val="21"/>
        </w:rPr>
      </w:pPr>
      <w:r>
        <w:rPr>
          <w:sz w:val="21"/>
          <w:szCs w:val="21"/>
        </w:rPr>
        <w:t>协调管理：编制内、外部接口细则，落实系统内部接口的实施，协调</w:t>
      </w:r>
      <w:r>
        <w:rPr>
          <w:rFonts w:hint="eastAsia"/>
          <w:sz w:val="21"/>
          <w:szCs w:val="21"/>
        </w:rPr>
        <w:t>各系统与外</w:t>
      </w:r>
      <w:r>
        <w:rPr>
          <w:sz w:val="21"/>
          <w:szCs w:val="21"/>
        </w:rPr>
        <w:t>系统之间接口。</w:t>
      </w:r>
    </w:p>
    <w:p w14:paraId="70752F68">
      <w:pPr>
        <w:widowControl/>
        <w:numPr>
          <w:ilvl w:val="0"/>
          <w:numId w:val="34"/>
        </w:numPr>
        <w:adjustRightInd w:val="0"/>
        <w:snapToGrid w:val="0"/>
        <w:jc w:val="both"/>
        <w:rPr>
          <w:sz w:val="21"/>
          <w:szCs w:val="21"/>
        </w:rPr>
      </w:pPr>
      <w:r>
        <w:rPr>
          <w:sz w:val="21"/>
          <w:szCs w:val="21"/>
        </w:rPr>
        <w:t>运输管理。</w:t>
      </w:r>
      <w:r>
        <w:rPr>
          <w:rFonts w:hint="eastAsia"/>
          <w:sz w:val="21"/>
          <w:szCs w:val="21"/>
        </w:rPr>
        <w:t>按照合同的要求，负责所供设备及材料的发货和运输。</w:t>
      </w:r>
    </w:p>
    <w:p w14:paraId="256CA827">
      <w:pPr>
        <w:widowControl/>
        <w:numPr>
          <w:ilvl w:val="0"/>
          <w:numId w:val="34"/>
        </w:numPr>
        <w:adjustRightInd w:val="0"/>
        <w:snapToGrid w:val="0"/>
        <w:jc w:val="both"/>
        <w:rPr>
          <w:sz w:val="21"/>
          <w:szCs w:val="21"/>
        </w:rPr>
      </w:pPr>
      <w:r>
        <w:rPr>
          <w:sz w:val="21"/>
          <w:szCs w:val="21"/>
        </w:rPr>
        <w:t>现场管理：对</w:t>
      </w:r>
      <w:r>
        <w:rPr>
          <w:rFonts w:hint="eastAsia"/>
          <w:sz w:val="21"/>
          <w:szCs w:val="21"/>
        </w:rPr>
        <w:t>提供</w:t>
      </w:r>
      <w:r>
        <w:rPr>
          <w:sz w:val="21"/>
          <w:szCs w:val="21"/>
        </w:rPr>
        <w:t>设备</w:t>
      </w:r>
      <w:r>
        <w:rPr>
          <w:rFonts w:hint="eastAsia"/>
          <w:sz w:val="21"/>
          <w:szCs w:val="21"/>
        </w:rPr>
        <w:t>及材料</w:t>
      </w:r>
      <w:r>
        <w:rPr>
          <w:sz w:val="21"/>
          <w:szCs w:val="21"/>
        </w:rPr>
        <w:t>的</w:t>
      </w:r>
      <w:r>
        <w:rPr>
          <w:rFonts w:hint="eastAsia"/>
          <w:sz w:val="21"/>
          <w:szCs w:val="21"/>
        </w:rPr>
        <w:t>交货、</w:t>
      </w:r>
      <w:r>
        <w:rPr>
          <w:rFonts w:hint="eastAsia"/>
          <w:sz w:val="21"/>
          <w:szCs w:val="21"/>
          <w:lang w:eastAsia="zh-CN"/>
        </w:rPr>
        <w:t>部署</w:t>
      </w:r>
      <w:r>
        <w:rPr>
          <w:sz w:val="21"/>
          <w:szCs w:val="21"/>
        </w:rPr>
        <w:t>、维</w:t>
      </w:r>
      <w:r>
        <w:rPr>
          <w:rFonts w:hint="eastAsia"/>
          <w:sz w:val="21"/>
          <w:szCs w:val="21"/>
        </w:rPr>
        <w:t>护</w:t>
      </w:r>
      <w:r>
        <w:rPr>
          <w:sz w:val="21"/>
          <w:szCs w:val="21"/>
        </w:rPr>
        <w:t>等工作</w:t>
      </w:r>
      <w:r>
        <w:rPr>
          <w:rFonts w:hint="eastAsia"/>
          <w:sz w:val="21"/>
          <w:szCs w:val="21"/>
        </w:rPr>
        <w:t>进行进度、质量等方面</w:t>
      </w:r>
      <w:r>
        <w:rPr>
          <w:sz w:val="21"/>
          <w:szCs w:val="21"/>
        </w:rPr>
        <w:t>管理</w:t>
      </w:r>
      <w:r>
        <w:rPr>
          <w:rFonts w:hint="eastAsia"/>
          <w:sz w:val="21"/>
          <w:szCs w:val="21"/>
        </w:rPr>
        <w:t>，并提供技术支持</w:t>
      </w:r>
      <w:r>
        <w:rPr>
          <w:sz w:val="21"/>
          <w:szCs w:val="21"/>
        </w:rPr>
        <w:t>。</w:t>
      </w:r>
    </w:p>
    <w:p w14:paraId="671543BF">
      <w:pPr>
        <w:widowControl/>
        <w:numPr>
          <w:ilvl w:val="0"/>
          <w:numId w:val="34"/>
        </w:numPr>
        <w:adjustRightInd w:val="0"/>
        <w:snapToGrid w:val="0"/>
        <w:jc w:val="both"/>
        <w:rPr>
          <w:sz w:val="21"/>
          <w:szCs w:val="21"/>
        </w:rPr>
      </w:pPr>
      <w:r>
        <w:rPr>
          <w:rFonts w:hint="eastAsia"/>
          <w:sz w:val="21"/>
          <w:szCs w:val="21"/>
        </w:rPr>
        <w:t>文档</w:t>
      </w:r>
      <w:r>
        <w:rPr>
          <w:sz w:val="21"/>
          <w:szCs w:val="21"/>
        </w:rPr>
        <w:t>管理：按照项目图纸和文件的管理程序，制定图纸和文件的内容，向招标人提供各种图纸、文件。</w:t>
      </w:r>
    </w:p>
    <w:p w14:paraId="61B8249A">
      <w:pPr>
        <w:pStyle w:val="4"/>
        <w:rPr>
          <w:sz w:val="21"/>
          <w:szCs w:val="21"/>
        </w:rPr>
      </w:pPr>
      <w:bookmarkStart w:id="600" w:name="_Toc128138709"/>
      <w:bookmarkStart w:id="601" w:name="_Toc234326002"/>
      <w:bookmarkStart w:id="602" w:name="_Toc128120956"/>
      <w:bookmarkStart w:id="603" w:name="_Toc218141929"/>
      <w:bookmarkStart w:id="604" w:name="_Toc218144161"/>
      <w:bookmarkStart w:id="605" w:name="_Toc213477500"/>
      <w:bookmarkStart w:id="606" w:name="_Toc128140013"/>
      <w:bookmarkStart w:id="607" w:name="_Toc128138093"/>
      <w:bookmarkStart w:id="608" w:name="_Toc213477254"/>
      <w:bookmarkStart w:id="609" w:name="_Toc217105765"/>
      <w:bookmarkStart w:id="610" w:name="_Toc218144412"/>
      <w:bookmarkStart w:id="611" w:name="_Toc20959"/>
      <w:bookmarkStart w:id="612" w:name="_Toc234326538"/>
      <w:bookmarkStart w:id="613" w:name="_Toc218147339"/>
      <w:bookmarkStart w:id="614" w:name="_Toc218145796"/>
      <w:bookmarkStart w:id="615" w:name="_Toc234326270"/>
      <w:bookmarkStart w:id="616" w:name="_Toc214704450"/>
      <w:bookmarkStart w:id="617" w:name="_Toc290373420"/>
      <w:bookmarkStart w:id="618" w:name="_Toc218145214"/>
      <w:bookmarkStart w:id="619" w:name="_Toc215885548"/>
      <w:bookmarkStart w:id="620" w:name="_Toc259981535"/>
      <w:bookmarkStart w:id="621" w:name="_Toc218142180"/>
      <w:bookmarkStart w:id="622" w:name="_Toc218141210"/>
      <w:bookmarkStart w:id="623" w:name="_Toc213407849"/>
      <w:bookmarkStart w:id="624" w:name="_Toc212873914"/>
      <w:bookmarkStart w:id="625" w:name="_Toc218143871"/>
      <w:bookmarkStart w:id="626" w:name="_Toc128138339"/>
      <w:bookmarkStart w:id="627" w:name="_Toc29834"/>
      <w:bookmarkStart w:id="628" w:name="_Toc218144914"/>
      <w:bookmarkStart w:id="629" w:name="_Toc128139605"/>
      <w:bookmarkStart w:id="630" w:name="_Toc128223286"/>
      <w:bookmarkStart w:id="631" w:name="_Toc128141005"/>
      <w:bookmarkStart w:id="632" w:name="_Toc130291561"/>
      <w:bookmarkStart w:id="633" w:name="_Toc128141482"/>
      <w:bookmarkStart w:id="634" w:name="_Toc212872594"/>
      <w:bookmarkStart w:id="635" w:name="_Toc212869952"/>
      <w:bookmarkStart w:id="636" w:name="_Toc214704201"/>
      <w:bookmarkStart w:id="637" w:name="_Toc218141678"/>
      <w:bookmarkStart w:id="638" w:name="_Toc128137831"/>
      <w:bookmarkStart w:id="639" w:name="_Toc214703952"/>
      <w:bookmarkStart w:id="640" w:name="_Toc218147590"/>
      <w:bookmarkStart w:id="641" w:name="_Toc131867890"/>
      <w:bookmarkStart w:id="642" w:name="_Toc128141183"/>
      <w:bookmarkStart w:id="643" w:name="_Toc218144663"/>
      <w:bookmarkStart w:id="644" w:name="_Toc128139111"/>
      <w:bookmarkStart w:id="645" w:name="_Toc128122926"/>
      <w:bookmarkStart w:id="646" w:name="_Toc231185169"/>
      <w:bookmarkStart w:id="647" w:name="_Toc128140580"/>
      <w:bookmarkStart w:id="648" w:name="_Toc237702908"/>
      <w:bookmarkStart w:id="649" w:name="_Toc215889461"/>
      <w:bookmarkStart w:id="650" w:name="_Toc218143440"/>
      <w:bookmarkStart w:id="651" w:name="_Toc234326806"/>
      <w:bookmarkStart w:id="652" w:name="_Toc128139324"/>
      <w:r>
        <w:rPr>
          <w:rFonts w:hint="eastAsia"/>
          <w:sz w:val="21"/>
          <w:szCs w:val="21"/>
        </w:rPr>
        <w:t>项目管理</w:t>
      </w:r>
      <w:r>
        <w:rPr>
          <w:sz w:val="21"/>
          <w:szCs w:val="21"/>
        </w:rPr>
        <w:t>机构</w:t>
      </w:r>
      <w:r>
        <w:rPr>
          <w:rFonts w:hint="eastAsia"/>
          <w:sz w:val="21"/>
          <w:szCs w:val="21"/>
        </w:rPr>
        <w:t>及</w:t>
      </w:r>
      <w:r>
        <w:rPr>
          <w:sz w:val="21"/>
          <w:szCs w:val="21"/>
        </w:rPr>
        <w:t>人员的配置</w:t>
      </w:r>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p>
    <w:p w14:paraId="55FCD109">
      <w:pPr>
        <w:pStyle w:val="5"/>
        <w:rPr>
          <w:color w:val="auto"/>
          <w:szCs w:val="21"/>
        </w:rPr>
      </w:pPr>
      <w:r>
        <w:rPr>
          <w:rFonts w:hint="eastAsia"/>
          <w:color w:val="auto"/>
          <w:szCs w:val="21"/>
        </w:rPr>
        <w:t>投标人应对本项目信息网络系统的各方面进行全过程的项目管理，应在南宁设立本项目的项目管理机构（即现场项目部），所配备的管理人员、生产/制造管理人员、技术管理人员、测试检验人员、现场管理人员、文档管理人员等必须保证满足工程要求及招标人要求。项目部主要职员须常驻南宁项目现场，项目部的工作时间须满足招标人要求。</w:t>
      </w:r>
    </w:p>
    <w:p w14:paraId="7BAA1B55">
      <w:pPr>
        <w:pStyle w:val="5"/>
        <w:rPr>
          <w:color w:val="auto"/>
          <w:szCs w:val="21"/>
        </w:rPr>
      </w:pPr>
      <w:bookmarkStart w:id="653" w:name="_Toc272570927"/>
      <w:r>
        <w:rPr>
          <w:rFonts w:hint="eastAsia"/>
          <w:color w:val="auto"/>
          <w:szCs w:val="21"/>
        </w:rPr>
        <w:t>投标人应采用图表展示项目管理的详细组织架构，主要职员（包括但不限于项目经理、项目技术负责人、技术管理人员、现场管理人员及其他人员等）的姓名，职务，常驻地点，专职及职员关系，并要清楚地展示将不同组别联系起来的个人及责任分工。</w:t>
      </w:r>
      <w:bookmarkEnd w:id="653"/>
    </w:p>
    <w:p w14:paraId="467A68FB">
      <w:pPr>
        <w:pStyle w:val="5"/>
        <w:rPr>
          <w:color w:val="auto"/>
          <w:szCs w:val="21"/>
        </w:rPr>
      </w:pPr>
      <w:bookmarkStart w:id="654" w:name="_Toc272570928"/>
      <w:r>
        <w:rPr>
          <w:rFonts w:hint="eastAsia"/>
          <w:color w:val="auto"/>
          <w:szCs w:val="21"/>
        </w:rPr>
        <w:t>投标人应提供项目部全部职员的姓名、资历和履历。上述人员须全职受雇于本项目。</w:t>
      </w:r>
      <w:bookmarkEnd w:id="654"/>
    </w:p>
    <w:p w14:paraId="30C59FF0">
      <w:pPr>
        <w:pStyle w:val="5"/>
        <w:rPr>
          <w:color w:val="auto"/>
          <w:szCs w:val="21"/>
        </w:rPr>
      </w:pPr>
      <w:bookmarkStart w:id="655" w:name="_Toc272570929"/>
      <w:r>
        <w:rPr>
          <w:rFonts w:hint="eastAsia"/>
          <w:color w:val="auto"/>
          <w:szCs w:val="21"/>
        </w:rPr>
        <w:t>投标人应从职员中选拔经验与资历都符合招标人要求的职员为项目经理，并报招标人批准。项目经理要专职服务于本项目，自任职开始至合同执行完为止，履行在合同内要尽的责任。工程开始后，只要招标人认为项目经理不能正确及时地履行其职责，招标人有权在任何时间要求撤换项目经理。投标人收到招标人提出撤换项目经理的要求时，应根据招标人要求及时更换。</w:t>
      </w:r>
      <w:bookmarkEnd w:id="655"/>
    </w:p>
    <w:p w14:paraId="7EFEFC95">
      <w:pPr>
        <w:pStyle w:val="5"/>
        <w:rPr>
          <w:color w:val="auto"/>
          <w:szCs w:val="21"/>
        </w:rPr>
      </w:pPr>
      <w:bookmarkStart w:id="656" w:name="_Toc272570930"/>
      <w:r>
        <w:rPr>
          <w:rFonts w:hint="eastAsia"/>
          <w:color w:val="auto"/>
          <w:szCs w:val="21"/>
        </w:rPr>
        <w:t>经招标人批准的项目经理、技术负责人等主要人员，未经招标人同意、批准，不得随意更换。</w:t>
      </w:r>
      <w:bookmarkEnd w:id="656"/>
      <w:r>
        <w:rPr>
          <w:rFonts w:hint="eastAsia"/>
          <w:color w:val="auto"/>
          <w:szCs w:val="21"/>
        </w:rPr>
        <w:t>招标人有权根据工程实施的需要，调整人员的配置，投标人应配合，并不得提出额外要求。</w:t>
      </w:r>
    </w:p>
    <w:p w14:paraId="57FF55B2">
      <w:pPr>
        <w:pStyle w:val="5"/>
        <w:rPr>
          <w:color w:val="auto"/>
          <w:szCs w:val="21"/>
        </w:rPr>
      </w:pPr>
      <w:bookmarkStart w:id="657" w:name="_Toc272570931"/>
      <w:r>
        <w:rPr>
          <w:rFonts w:hint="eastAsia"/>
          <w:color w:val="auto"/>
          <w:szCs w:val="21"/>
        </w:rPr>
        <w:t>投标人履行合同期间，项目经理及项目技术负责人应全职服务于本项目，要求从签订合同之日起至工程验收之日止，如需离开南宁，应获得招标人的书面同意。</w:t>
      </w:r>
      <w:bookmarkEnd w:id="657"/>
    </w:p>
    <w:p w14:paraId="68277C1C">
      <w:pPr>
        <w:pStyle w:val="5"/>
        <w:rPr>
          <w:color w:val="auto"/>
          <w:szCs w:val="21"/>
        </w:rPr>
      </w:pPr>
      <w:r>
        <w:rPr>
          <w:rFonts w:hint="eastAsia"/>
          <w:color w:val="auto"/>
          <w:szCs w:val="21"/>
        </w:rPr>
        <w:t>组织机构人员的配置：组织机构必须配备（但不限于此）下列人员：</w:t>
      </w:r>
    </w:p>
    <w:p w14:paraId="2579C79C">
      <w:pPr>
        <w:widowControl/>
        <w:numPr>
          <w:ilvl w:val="0"/>
          <w:numId w:val="34"/>
        </w:numPr>
        <w:adjustRightInd w:val="0"/>
        <w:snapToGrid w:val="0"/>
        <w:jc w:val="both"/>
        <w:rPr>
          <w:sz w:val="21"/>
          <w:szCs w:val="21"/>
        </w:rPr>
      </w:pPr>
      <w:r>
        <w:rPr>
          <w:rFonts w:hint="eastAsia"/>
          <w:sz w:val="21"/>
          <w:szCs w:val="21"/>
        </w:rPr>
        <w:t>项目经理：本项目执行的负责人，配置1名。</w:t>
      </w:r>
    </w:p>
    <w:p w14:paraId="062D6722">
      <w:pPr>
        <w:widowControl/>
        <w:numPr>
          <w:ilvl w:val="0"/>
          <w:numId w:val="34"/>
        </w:numPr>
        <w:adjustRightInd w:val="0"/>
        <w:snapToGrid w:val="0"/>
        <w:jc w:val="both"/>
        <w:rPr>
          <w:sz w:val="21"/>
          <w:szCs w:val="21"/>
        </w:rPr>
      </w:pPr>
      <w:r>
        <w:rPr>
          <w:rFonts w:hint="eastAsia"/>
          <w:sz w:val="21"/>
          <w:szCs w:val="21"/>
        </w:rPr>
        <w:t>项目技术负责人：制定技术标准及系统接口规范、讨论技术方案、协调所供设备的软、硬件</w:t>
      </w:r>
      <w:r>
        <w:rPr>
          <w:rFonts w:hint="eastAsia"/>
          <w:sz w:val="21"/>
          <w:szCs w:val="21"/>
          <w:lang w:eastAsia="zh-CN"/>
        </w:rPr>
        <w:t>规划</w:t>
      </w:r>
      <w:r>
        <w:rPr>
          <w:rFonts w:hint="eastAsia"/>
          <w:sz w:val="21"/>
          <w:szCs w:val="21"/>
        </w:rPr>
        <w:t>、安装调试和整个项目过程中的技术问题处理，配置1名。</w:t>
      </w:r>
    </w:p>
    <w:p w14:paraId="2749A114">
      <w:pPr>
        <w:widowControl/>
        <w:numPr>
          <w:ilvl w:val="0"/>
          <w:numId w:val="34"/>
        </w:numPr>
        <w:adjustRightInd w:val="0"/>
        <w:snapToGrid w:val="0"/>
        <w:jc w:val="both"/>
        <w:rPr>
          <w:sz w:val="21"/>
          <w:szCs w:val="21"/>
        </w:rPr>
      </w:pPr>
      <w:r>
        <w:rPr>
          <w:rFonts w:hint="eastAsia"/>
          <w:sz w:val="21"/>
          <w:szCs w:val="21"/>
        </w:rPr>
        <w:t>生产/制造管理人员：按照合同技术规格书的要求，负责设备主要原材料采购和设备的生产制造及质量等，投标人根据需要配置。</w:t>
      </w:r>
    </w:p>
    <w:p w14:paraId="76522827">
      <w:pPr>
        <w:widowControl/>
        <w:numPr>
          <w:ilvl w:val="0"/>
          <w:numId w:val="34"/>
        </w:numPr>
        <w:adjustRightInd w:val="0"/>
        <w:snapToGrid w:val="0"/>
        <w:jc w:val="both"/>
        <w:rPr>
          <w:sz w:val="21"/>
          <w:szCs w:val="21"/>
        </w:rPr>
      </w:pPr>
      <w:r>
        <w:rPr>
          <w:rFonts w:hint="eastAsia"/>
          <w:sz w:val="21"/>
          <w:szCs w:val="21"/>
        </w:rPr>
        <w:t>测试检验人员：编制设备试验、检验标准，负责设备的试验和检验，投标人根据需要配置。</w:t>
      </w:r>
    </w:p>
    <w:p w14:paraId="16B51FEE">
      <w:pPr>
        <w:widowControl/>
        <w:numPr>
          <w:ilvl w:val="0"/>
          <w:numId w:val="34"/>
        </w:numPr>
        <w:adjustRightInd w:val="0"/>
        <w:snapToGrid w:val="0"/>
        <w:jc w:val="both"/>
        <w:rPr>
          <w:sz w:val="21"/>
          <w:szCs w:val="21"/>
        </w:rPr>
      </w:pPr>
      <w:r>
        <w:rPr>
          <w:rFonts w:hint="eastAsia"/>
          <w:sz w:val="21"/>
          <w:szCs w:val="21"/>
        </w:rPr>
        <w:t>现场管理人员：负责现场设备</w:t>
      </w:r>
      <w:r>
        <w:rPr>
          <w:rFonts w:hint="eastAsia"/>
          <w:sz w:val="21"/>
          <w:szCs w:val="21"/>
          <w:lang w:eastAsia="zh-CN"/>
        </w:rPr>
        <w:t>部署与准备</w:t>
      </w:r>
      <w:r>
        <w:rPr>
          <w:rFonts w:hint="eastAsia"/>
          <w:sz w:val="21"/>
          <w:szCs w:val="21"/>
        </w:rPr>
        <w:t>，落实系统接口的实施、维护等，（人数不少于1人），投标人应列出人员计划。</w:t>
      </w:r>
    </w:p>
    <w:p w14:paraId="491A80F1">
      <w:pPr>
        <w:widowControl/>
        <w:numPr>
          <w:ilvl w:val="0"/>
          <w:numId w:val="34"/>
        </w:numPr>
        <w:adjustRightInd w:val="0"/>
        <w:snapToGrid w:val="0"/>
        <w:jc w:val="both"/>
        <w:rPr>
          <w:sz w:val="21"/>
          <w:szCs w:val="21"/>
        </w:rPr>
      </w:pPr>
      <w:r>
        <w:rPr>
          <w:rFonts w:hint="eastAsia"/>
          <w:sz w:val="21"/>
          <w:szCs w:val="21"/>
        </w:rPr>
        <w:t>文档管理人员：按照项目图纸和文件的管理程序，根据工程进度，向招标人提供各种图纸和文件，投标人须配置1名文档管理人员。</w:t>
      </w:r>
    </w:p>
    <w:p w14:paraId="750C0D70">
      <w:pPr>
        <w:widowControl/>
        <w:numPr>
          <w:ilvl w:val="0"/>
          <w:numId w:val="34"/>
        </w:numPr>
        <w:adjustRightInd w:val="0"/>
        <w:snapToGrid w:val="0"/>
        <w:jc w:val="both"/>
        <w:rPr>
          <w:sz w:val="21"/>
          <w:szCs w:val="21"/>
        </w:rPr>
      </w:pPr>
      <w:r>
        <w:rPr>
          <w:rFonts w:hint="eastAsia"/>
          <w:sz w:val="21"/>
          <w:szCs w:val="21"/>
        </w:rPr>
        <w:t>招标人有权根据工程实施的需要，调整以上人员配置，投标人应配合，并不得提出额外要求。</w:t>
      </w:r>
    </w:p>
    <w:p w14:paraId="2A001124">
      <w:pPr>
        <w:pStyle w:val="4"/>
        <w:rPr>
          <w:sz w:val="21"/>
          <w:szCs w:val="21"/>
        </w:rPr>
      </w:pPr>
      <w:bookmarkStart w:id="658" w:name="_Toc218144162"/>
      <w:bookmarkStart w:id="659" w:name="_Toc128140581"/>
      <w:bookmarkStart w:id="660" w:name="_Toc218143441"/>
      <w:bookmarkStart w:id="661" w:name="_Toc213477255"/>
      <w:bookmarkStart w:id="662" w:name="_Toc128139606"/>
      <w:bookmarkStart w:id="663" w:name="_Toc128223287"/>
      <w:bookmarkStart w:id="664" w:name="_Toc128122927"/>
      <w:bookmarkStart w:id="665" w:name="_Toc128139325"/>
      <w:bookmarkStart w:id="666" w:name="_Toc213477501"/>
      <w:bookmarkStart w:id="667" w:name="_Toc128141483"/>
      <w:bookmarkStart w:id="668" w:name="_Toc212869953"/>
      <w:bookmarkStart w:id="669" w:name="_Toc218144413"/>
      <w:bookmarkStart w:id="670" w:name="_Toc128138340"/>
      <w:bookmarkStart w:id="671" w:name="_Toc20731"/>
      <w:bookmarkStart w:id="672" w:name="_Toc213407850"/>
      <w:bookmarkStart w:id="673" w:name="_Toc214704451"/>
      <w:bookmarkStart w:id="674" w:name="_Toc128140014"/>
      <w:bookmarkStart w:id="675" w:name="_Toc218144915"/>
      <w:bookmarkStart w:id="676" w:name="_Toc212873915"/>
      <w:bookmarkStart w:id="677" w:name="_Toc128138094"/>
      <w:bookmarkStart w:id="678" w:name="_Toc212872595"/>
      <w:bookmarkStart w:id="679" w:name="_Toc218141679"/>
      <w:bookmarkStart w:id="680" w:name="_Toc218141211"/>
      <w:bookmarkStart w:id="681" w:name="_Toc128141184"/>
      <w:bookmarkStart w:id="682" w:name="_Toc214704202"/>
      <w:bookmarkStart w:id="683" w:name="_Toc218144664"/>
      <w:bookmarkStart w:id="684" w:name="_Toc231185170"/>
      <w:bookmarkStart w:id="685" w:name="_Toc214703953"/>
      <w:bookmarkStart w:id="686" w:name="_Toc15564"/>
      <w:bookmarkStart w:id="687" w:name="_Toc128138710"/>
      <w:bookmarkStart w:id="688" w:name="_Toc218143872"/>
      <w:bookmarkStart w:id="689" w:name="_Toc218145215"/>
      <w:bookmarkStart w:id="690" w:name="_Toc215885549"/>
      <w:bookmarkStart w:id="691" w:name="_Toc218147340"/>
      <w:bookmarkStart w:id="692" w:name="_Toc218142181"/>
      <w:bookmarkStart w:id="693" w:name="_Toc234326003"/>
      <w:bookmarkStart w:id="694" w:name="_Toc218145797"/>
      <w:bookmarkStart w:id="695" w:name="_Toc290373421"/>
      <w:bookmarkStart w:id="696" w:name="_Toc215889462"/>
      <w:bookmarkStart w:id="697" w:name="_Toc259981536"/>
      <w:bookmarkStart w:id="698" w:name="_Toc237702909"/>
      <w:bookmarkStart w:id="699" w:name="_Toc218141930"/>
      <w:bookmarkStart w:id="700" w:name="_Toc218147591"/>
      <w:bookmarkStart w:id="701" w:name="_Toc217105766"/>
      <w:bookmarkStart w:id="702" w:name="_Toc130291562"/>
      <w:bookmarkStart w:id="703" w:name="_Toc128120957"/>
      <w:bookmarkStart w:id="704" w:name="_Toc234326807"/>
      <w:bookmarkStart w:id="705" w:name="_Toc234326539"/>
      <w:bookmarkStart w:id="706" w:name="_Toc128139112"/>
      <w:bookmarkStart w:id="707" w:name="_Toc128141006"/>
      <w:bookmarkStart w:id="708" w:name="_Toc131867891"/>
      <w:bookmarkStart w:id="709" w:name="_Toc128137832"/>
      <w:bookmarkStart w:id="710" w:name="_Toc234326271"/>
      <w:r>
        <w:rPr>
          <w:sz w:val="21"/>
          <w:szCs w:val="21"/>
        </w:rPr>
        <w:t>组织机构人员的要求</w:t>
      </w:r>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p>
    <w:p w14:paraId="32C12EDB">
      <w:pPr>
        <w:pStyle w:val="5"/>
        <w:rPr>
          <w:color w:val="auto"/>
          <w:szCs w:val="21"/>
        </w:rPr>
      </w:pPr>
      <w:r>
        <w:rPr>
          <w:color w:val="auto"/>
          <w:szCs w:val="21"/>
        </w:rPr>
        <w:t>一般要求</w:t>
      </w:r>
      <w:r>
        <w:rPr>
          <w:rFonts w:hint="eastAsia"/>
          <w:color w:val="auto"/>
          <w:szCs w:val="21"/>
        </w:rPr>
        <w:t>（不限于此）</w:t>
      </w:r>
      <w:r>
        <w:rPr>
          <w:color w:val="auto"/>
          <w:szCs w:val="21"/>
        </w:rPr>
        <w:t>：</w:t>
      </w:r>
    </w:p>
    <w:p w14:paraId="4CD26E55">
      <w:pPr>
        <w:widowControl/>
        <w:numPr>
          <w:ilvl w:val="0"/>
          <w:numId w:val="34"/>
        </w:numPr>
        <w:adjustRightInd w:val="0"/>
        <w:snapToGrid w:val="0"/>
        <w:jc w:val="both"/>
        <w:rPr>
          <w:sz w:val="21"/>
          <w:szCs w:val="21"/>
        </w:rPr>
      </w:pPr>
      <w:r>
        <w:rPr>
          <w:rFonts w:hint="eastAsia"/>
          <w:sz w:val="21"/>
          <w:szCs w:val="21"/>
        </w:rPr>
        <w:t>计算机</w:t>
      </w:r>
      <w:r>
        <w:rPr>
          <w:sz w:val="21"/>
          <w:szCs w:val="21"/>
        </w:rPr>
        <w:t>相关专业毕业；</w:t>
      </w:r>
    </w:p>
    <w:p w14:paraId="46887C83">
      <w:pPr>
        <w:widowControl/>
        <w:numPr>
          <w:ilvl w:val="0"/>
          <w:numId w:val="34"/>
        </w:numPr>
        <w:adjustRightInd w:val="0"/>
        <w:snapToGrid w:val="0"/>
        <w:jc w:val="both"/>
        <w:rPr>
          <w:sz w:val="21"/>
          <w:szCs w:val="21"/>
        </w:rPr>
      </w:pPr>
      <w:r>
        <w:rPr>
          <w:sz w:val="21"/>
          <w:szCs w:val="21"/>
        </w:rPr>
        <w:t>有类似</w:t>
      </w:r>
      <w:r>
        <w:rPr>
          <w:rFonts w:hint="eastAsia"/>
          <w:sz w:val="21"/>
          <w:szCs w:val="21"/>
        </w:rPr>
        <w:t>计算机</w:t>
      </w:r>
      <w:r>
        <w:rPr>
          <w:sz w:val="21"/>
          <w:szCs w:val="21"/>
        </w:rPr>
        <w:t>网络系统集成或</w:t>
      </w:r>
      <w:r>
        <w:rPr>
          <w:rFonts w:hint="eastAsia"/>
          <w:sz w:val="21"/>
          <w:szCs w:val="21"/>
          <w:lang w:eastAsia="zh-CN"/>
        </w:rPr>
        <w:t>管理云平台</w:t>
      </w:r>
      <w:r>
        <w:rPr>
          <w:sz w:val="21"/>
          <w:szCs w:val="21"/>
        </w:rPr>
        <w:t>系统集成3年以上的实践经验；</w:t>
      </w:r>
    </w:p>
    <w:p w14:paraId="43D248AF">
      <w:pPr>
        <w:widowControl/>
        <w:numPr>
          <w:ilvl w:val="0"/>
          <w:numId w:val="34"/>
        </w:numPr>
        <w:adjustRightInd w:val="0"/>
        <w:snapToGrid w:val="0"/>
        <w:jc w:val="both"/>
        <w:rPr>
          <w:sz w:val="21"/>
          <w:szCs w:val="21"/>
        </w:rPr>
      </w:pPr>
      <w:r>
        <w:rPr>
          <w:sz w:val="21"/>
          <w:szCs w:val="21"/>
        </w:rPr>
        <w:t>熟悉云</w:t>
      </w:r>
      <w:r>
        <w:rPr>
          <w:rFonts w:hint="eastAsia"/>
          <w:sz w:val="21"/>
          <w:szCs w:val="21"/>
        </w:rPr>
        <w:t>信息系统</w:t>
      </w:r>
      <w:r>
        <w:rPr>
          <w:sz w:val="21"/>
          <w:szCs w:val="21"/>
        </w:rPr>
        <w:t>设备、</w:t>
      </w:r>
      <w:r>
        <w:rPr>
          <w:rFonts w:hint="eastAsia"/>
          <w:sz w:val="21"/>
          <w:szCs w:val="21"/>
        </w:rPr>
        <w:t>信息系统集成或</w:t>
      </w:r>
      <w:r>
        <w:rPr>
          <w:sz w:val="21"/>
          <w:szCs w:val="21"/>
        </w:rPr>
        <w:t>平台系统集成的国家有关标准；</w:t>
      </w:r>
    </w:p>
    <w:p w14:paraId="5483B255">
      <w:pPr>
        <w:widowControl/>
        <w:numPr>
          <w:ilvl w:val="0"/>
          <w:numId w:val="34"/>
        </w:numPr>
        <w:adjustRightInd w:val="0"/>
        <w:snapToGrid w:val="0"/>
        <w:jc w:val="both"/>
        <w:rPr>
          <w:sz w:val="21"/>
          <w:szCs w:val="21"/>
        </w:rPr>
      </w:pPr>
      <w:r>
        <w:rPr>
          <w:sz w:val="21"/>
          <w:szCs w:val="21"/>
        </w:rPr>
        <w:t>具有团结协作、主动工作、管理、沟通、协调能力等</w:t>
      </w:r>
      <w:r>
        <w:rPr>
          <w:rFonts w:hint="eastAsia"/>
          <w:sz w:val="21"/>
          <w:szCs w:val="21"/>
        </w:rPr>
        <w:t>。</w:t>
      </w:r>
    </w:p>
    <w:p w14:paraId="5D27E7B2">
      <w:pPr>
        <w:pStyle w:val="5"/>
        <w:rPr>
          <w:color w:val="auto"/>
          <w:szCs w:val="21"/>
        </w:rPr>
      </w:pPr>
      <w:r>
        <w:rPr>
          <w:color w:val="auto"/>
          <w:szCs w:val="21"/>
        </w:rPr>
        <w:t>项目经理</w:t>
      </w:r>
      <w:r>
        <w:rPr>
          <w:rFonts w:hint="eastAsia"/>
          <w:color w:val="auto"/>
          <w:szCs w:val="21"/>
        </w:rPr>
        <w:t>的要求（不限于此）：</w:t>
      </w:r>
    </w:p>
    <w:p w14:paraId="6C23BC6E">
      <w:pPr>
        <w:widowControl/>
        <w:numPr>
          <w:ilvl w:val="0"/>
          <w:numId w:val="34"/>
        </w:numPr>
        <w:adjustRightInd w:val="0"/>
        <w:snapToGrid w:val="0"/>
        <w:jc w:val="both"/>
        <w:rPr>
          <w:sz w:val="21"/>
          <w:szCs w:val="21"/>
        </w:rPr>
      </w:pPr>
      <w:r>
        <w:rPr>
          <w:sz w:val="21"/>
          <w:szCs w:val="21"/>
        </w:rPr>
        <w:t>具有</w:t>
      </w:r>
      <w:r>
        <w:rPr>
          <w:rFonts w:hint="eastAsia"/>
          <w:sz w:val="21"/>
          <w:szCs w:val="21"/>
        </w:rPr>
        <w:t>5年以上信息系统集成</w:t>
      </w:r>
      <w:r>
        <w:rPr>
          <w:sz w:val="21"/>
          <w:szCs w:val="21"/>
        </w:rPr>
        <w:t>或</w:t>
      </w:r>
      <w:r>
        <w:rPr>
          <w:rFonts w:hint="eastAsia"/>
          <w:sz w:val="21"/>
          <w:szCs w:val="21"/>
          <w:lang w:eastAsia="zh-CN"/>
        </w:rPr>
        <w:t>管理云平台</w:t>
      </w:r>
      <w:r>
        <w:rPr>
          <w:sz w:val="21"/>
          <w:szCs w:val="21"/>
        </w:rPr>
        <w:t>系统集成管理的经验；</w:t>
      </w:r>
    </w:p>
    <w:p w14:paraId="2F7DA213">
      <w:pPr>
        <w:widowControl/>
        <w:numPr>
          <w:ilvl w:val="0"/>
          <w:numId w:val="34"/>
        </w:numPr>
        <w:adjustRightInd w:val="0"/>
        <w:snapToGrid w:val="0"/>
        <w:jc w:val="both"/>
        <w:rPr>
          <w:sz w:val="21"/>
          <w:szCs w:val="21"/>
        </w:rPr>
      </w:pPr>
      <w:r>
        <w:rPr>
          <w:sz w:val="21"/>
          <w:szCs w:val="21"/>
        </w:rPr>
        <w:t>在类似</w:t>
      </w:r>
      <w:r>
        <w:rPr>
          <w:rFonts w:hint="eastAsia"/>
          <w:sz w:val="21"/>
          <w:szCs w:val="21"/>
        </w:rPr>
        <w:t>项目</w:t>
      </w:r>
      <w:r>
        <w:rPr>
          <w:sz w:val="21"/>
          <w:szCs w:val="21"/>
        </w:rPr>
        <w:t>中担任过本职务；</w:t>
      </w:r>
    </w:p>
    <w:p w14:paraId="2F06CAFC">
      <w:pPr>
        <w:widowControl/>
        <w:numPr>
          <w:ilvl w:val="0"/>
          <w:numId w:val="34"/>
        </w:numPr>
        <w:adjustRightInd w:val="0"/>
        <w:snapToGrid w:val="0"/>
        <w:jc w:val="both"/>
        <w:rPr>
          <w:sz w:val="21"/>
          <w:szCs w:val="21"/>
        </w:rPr>
      </w:pPr>
      <w:r>
        <w:rPr>
          <w:sz w:val="21"/>
          <w:szCs w:val="21"/>
        </w:rPr>
        <w:t>在组织、管理、决策方面有丰富经验；</w:t>
      </w:r>
    </w:p>
    <w:p w14:paraId="003F27D9">
      <w:pPr>
        <w:widowControl/>
        <w:numPr>
          <w:ilvl w:val="0"/>
          <w:numId w:val="34"/>
        </w:numPr>
        <w:adjustRightInd w:val="0"/>
        <w:snapToGrid w:val="0"/>
        <w:jc w:val="both"/>
        <w:rPr>
          <w:sz w:val="21"/>
          <w:szCs w:val="21"/>
        </w:rPr>
      </w:pPr>
      <w:r>
        <w:rPr>
          <w:sz w:val="21"/>
          <w:szCs w:val="21"/>
        </w:rPr>
        <w:t>要专职于本项目，履行合同内应尽的责任，由任职开始至合同结束</w:t>
      </w:r>
      <w:r>
        <w:rPr>
          <w:rFonts w:hint="eastAsia"/>
          <w:sz w:val="21"/>
          <w:szCs w:val="21"/>
        </w:rPr>
        <w:t>不得更换（不称职更换除外）、兼职；</w:t>
      </w:r>
    </w:p>
    <w:p w14:paraId="30B26D62">
      <w:pPr>
        <w:pStyle w:val="5"/>
        <w:rPr>
          <w:color w:val="auto"/>
          <w:szCs w:val="21"/>
        </w:rPr>
      </w:pPr>
      <w:r>
        <w:rPr>
          <w:rFonts w:hint="eastAsia"/>
          <w:color w:val="auto"/>
          <w:szCs w:val="21"/>
        </w:rPr>
        <w:t>项目</w:t>
      </w:r>
      <w:r>
        <w:rPr>
          <w:color w:val="auto"/>
          <w:szCs w:val="21"/>
        </w:rPr>
        <w:t>技术</w:t>
      </w:r>
      <w:r>
        <w:rPr>
          <w:rFonts w:hint="eastAsia"/>
          <w:color w:val="auto"/>
          <w:szCs w:val="21"/>
        </w:rPr>
        <w:t>负责人的要求（不限于此）：</w:t>
      </w:r>
    </w:p>
    <w:p w14:paraId="7245B4D6">
      <w:pPr>
        <w:widowControl/>
        <w:numPr>
          <w:ilvl w:val="0"/>
          <w:numId w:val="34"/>
        </w:numPr>
        <w:adjustRightInd w:val="0"/>
        <w:snapToGrid w:val="0"/>
        <w:jc w:val="both"/>
        <w:rPr>
          <w:sz w:val="21"/>
          <w:szCs w:val="21"/>
        </w:rPr>
      </w:pPr>
      <w:r>
        <w:rPr>
          <w:sz w:val="21"/>
          <w:szCs w:val="21"/>
        </w:rPr>
        <w:t>具有</w:t>
      </w:r>
      <w:r>
        <w:rPr>
          <w:rFonts w:hint="eastAsia"/>
          <w:sz w:val="21"/>
          <w:szCs w:val="21"/>
        </w:rPr>
        <w:t>5年以上计算机</w:t>
      </w:r>
      <w:r>
        <w:rPr>
          <w:sz w:val="21"/>
          <w:szCs w:val="21"/>
        </w:rPr>
        <w:t>网络系统集成或</w:t>
      </w:r>
      <w:r>
        <w:rPr>
          <w:rFonts w:hint="eastAsia"/>
          <w:sz w:val="21"/>
          <w:szCs w:val="21"/>
          <w:lang w:eastAsia="zh-CN"/>
        </w:rPr>
        <w:t>管理云平台</w:t>
      </w:r>
      <w:r>
        <w:rPr>
          <w:sz w:val="21"/>
          <w:szCs w:val="21"/>
        </w:rPr>
        <w:t>系统集成的经验；</w:t>
      </w:r>
    </w:p>
    <w:p w14:paraId="15788E8C">
      <w:pPr>
        <w:widowControl/>
        <w:numPr>
          <w:ilvl w:val="0"/>
          <w:numId w:val="34"/>
        </w:numPr>
        <w:adjustRightInd w:val="0"/>
        <w:snapToGrid w:val="0"/>
        <w:jc w:val="both"/>
        <w:rPr>
          <w:sz w:val="21"/>
          <w:szCs w:val="21"/>
        </w:rPr>
      </w:pPr>
      <w:r>
        <w:rPr>
          <w:sz w:val="21"/>
          <w:szCs w:val="21"/>
        </w:rPr>
        <w:t>在类似工程中担任过本职务；</w:t>
      </w:r>
    </w:p>
    <w:p w14:paraId="0EE47BA9">
      <w:pPr>
        <w:widowControl/>
        <w:numPr>
          <w:ilvl w:val="0"/>
          <w:numId w:val="34"/>
        </w:numPr>
        <w:adjustRightInd w:val="0"/>
        <w:snapToGrid w:val="0"/>
        <w:jc w:val="both"/>
        <w:rPr>
          <w:sz w:val="21"/>
          <w:szCs w:val="21"/>
        </w:rPr>
      </w:pPr>
      <w:r>
        <w:rPr>
          <w:rFonts w:hint="eastAsia"/>
          <w:sz w:val="21"/>
          <w:szCs w:val="21"/>
        </w:rPr>
        <w:t>对信息系统</w:t>
      </w:r>
      <w:r>
        <w:rPr>
          <w:sz w:val="21"/>
          <w:szCs w:val="21"/>
        </w:rPr>
        <w:t>或</w:t>
      </w:r>
      <w:r>
        <w:rPr>
          <w:rFonts w:hint="eastAsia"/>
          <w:sz w:val="21"/>
          <w:szCs w:val="21"/>
          <w:lang w:eastAsia="zh-CN"/>
        </w:rPr>
        <w:t>管理云平台</w:t>
      </w:r>
      <w:r>
        <w:rPr>
          <w:sz w:val="21"/>
          <w:szCs w:val="21"/>
        </w:rPr>
        <w:t>系统集成</w:t>
      </w:r>
      <w:r>
        <w:rPr>
          <w:rFonts w:hint="eastAsia"/>
          <w:sz w:val="21"/>
          <w:szCs w:val="21"/>
        </w:rPr>
        <w:t>的设备、工程</w:t>
      </w:r>
      <w:r>
        <w:rPr>
          <w:rFonts w:hint="eastAsia"/>
          <w:sz w:val="21"/>
          <w:szCs w:val="21"/>
          <w:lang w:eastAsia="zh-CN"/>
        </w:rPr>
        <w:t>规划</w:t>
      </w:r>
      <w:r>
        <w:rPr>
          <w:rFonts w:hint="eastAsia"/>
          <w:sz w:val="21"/>
          <w:szCs w:val="21"/>
        </w:rPr>
        <w:t>、接口等方面具有丰富的经验</w:t>
      </w:r>
      <w:r>
        <w:rPr>
          <w:sz w:val="21"/>
          <w:szCs w:val="21"/>
        </w:rPr>
        <w:t>；</w:t>
      </w:r>
    </w:p>
    <w:p w14:paraId="26D78944">
      <w:pPr>
        <w:widowControl/>
        <w:numPr>
          <w:ilvl w:val="0"/>
          <w:numId w:val="34"/>
        </w:numPr>
        <w:adjustRightInd w:val="0"/>
        <w:snapToGrid w:val="0"/>
        <w:jc w:val="both"/>
        <w:rPr>
          <w:sz w:val="21"/>
          <w:szCs w:val="21"/>
        </w:rPr>
      </w:pPr>
      <w:r>
        <w:rPr>
          <w:sz w:val="21"/>
          <w:szCs w:val="21"/>
        </w:rPr>
        <w:t>熟悉</w:t>
      </w:r>
      <w:r>
        <w:rPr>
          <w:rFonts w:hint="eastAsia"/>
          <w:sz w:val="21"/>
          <w:szCs w:val="21"/>
        </w:rPr>
        <w:t>信息系统</w:t>
      </w:r>
      <w:r>
        <w:rPr>
          <w:sz w:val="21"/>
          <w:szCs w:val="21"/>
        </w:rPr>
        <w:t>或</w:t>
      </w:r>
      <w:r>
        <w:rPr>
          <w:rFonts w:hint="eastAsia"/>
          <w:sz w:val="21"/>
          <w:szCs w:val="21"/>
          <w:lang w:eastAsia="zh-CN"/>
        </w:rPr>
        <w:t>管理云平台</w:t>
      </w:r>
      <w:r>
        <w:rPr>
          <w:sz w:val="21"/>
          <w:szCs w:val="21"/>
        </w:rPr>
        <w:t>系统集成在国内、外技术发展的状况；</w:t>
      </w:r>
    </w:p>
    <w:p w14:paraId="22181502">
      <w:pPr>
        <w:widowControl/>
        <w:numPr>
          <w:ilvl w:val="0"/>
          <w:numId w:val="34"/>
        </w:numPr>
        <w:adjustRightInd w:val="0"/>
        <w:snapToGrid w:val="0"/>
        <w:jc w:val="both"/>
        <w:rPr>
          <w:sz w:val="21"/>
          <w:szCs w:val="21"/>
        </w:rPr>
      </w:pPr>
      <w:r>
        <w:rPr>
          <w:sz w:val="21"/>
          <w:szCs w:val="21"/>
        </w:rPr>
        <w:t>熟</w:t>
      </w:r>
      <w:r>
        <w:rPr>
          <w:rFonts w:hint="eastAsia"/>
          <w:sz w:val="21"/>
          <w:szCs w:val="21"/>
        </w:rPr>
        <w:t>悉信息系统</w:t>
      </w:r>
      <w:r>
        <w:rPr>
          <w:sz w:val="21"/>
          <w:szCs w:val="21"/>
        </w:rPr>
        <w:t>或</w:t>
      </w:r>
      <w:r>
        <w:rPr>
          <w:rFonts w:hint="eastAsia"/>
          <w:sz w:val="21"/>
          <w:szCs w:val="21"/>
          <w:lang w:eastAsia="zh-CN"/>
        </w:rPr>
        <w:t>管理云平台</w:t>
      </w:r>
      <w:r>
        <w:rPr>
          <w:sz w:val="21"/>
          <w:szCs w:val="21"/>
        </w:rPr>
        <w:t>系统集成的</w:t>
      </w:r>
      <w:r>
        <w:rPr>
          <w:rFonts w:hint="eastAsia"/>
          <w:sz w:val="21"/>
          <w:szCs w:val="21"/>
        </w:rPr>
        <w:t>国际、</w:t>
      </w:r>
      <w:r>
        <w:rPr>
          <w:sz w:val="21"/>
          <w:szCs w:val="21"/>
        </w:rPr>
        <w:t>国家有关技术标准；</w:t>
      </w:r>
    </w:p>
    <w:p w14:paraId="35A47B2C">
      <w:pPr>
        <w:pStyle w:val="5"/>
        <w:rPr>
          <w:color w:val="auto"/>
          <w:szCs w:val="21"/>
        </w:rPr>
      </w:pPr>
      <w:r>
        <w:rPr>
          <w:color w:val="auto"/>
          <w:szCs w:val="21"/>
        </w:rPr>
        <w:t>生产</w:t>
      </w:r>
      <w:r>
        <w:rPr>
          <w:rFonts w:hint="eastAsia"/>
          <w:color w:val="auto"/>
          <w:szCs w:val="21"/>
        </w:rPr>
        <w:t>/</w:t>
      </w:r>
      <w:r>
        <w:rPr>
          <w:color w:val="auto"/>
          <w:szCs w:val="21"/>
        </w:rPr>
        <w:t>制造管理人员</w:t>
      </w:r>
      <w:r>
        <w:rPr>
          <w:rFonts w:hint="eastAsia"/>
          <w:color w:val="auto"/>
          <w:szCs w:val="21"/>
        </w:rPr>
        <w:t>的要求（不限于此）：</w:t>
      </w:r>
    </w:p>
    <w:p w14:paraId="04B42DA2">
      <w:pPr>
        <w:widowControl/>
        <w:numPr>
          <w:ilvl w:val="0"/>
          <w:numId w:val="34"/>
        </w:numPr>
        <w:adjustRightInd w:val="0"/>
        <w:snapToGrid w:val="0"/>
        <w:jc w:val="both"/>
        <w:rPr>
          <w:sz w:val="21"/>
          <w:szCs w:val="21"/>
        </w:rPr>
      </w:pPr>
      <w:r>
        <w:rPr>
          <w:sz w:val="21"/>
          <w:szCs w:val="21"/>
        </w:rPr>
        <w:t>具有</w:t>
      </w:r>
      <w:r>
        <w:rPr>
          <w:rFonts w:hint="eastAsia"/>
          <w:sz w:val="21"/>
          <w:szCs w:val="21"/>
        </w:rPr>
        <w:t>信息系统</w:t>
      </w:r>
      <w:r>
        <w:rPr>
          <w:sz w:val="21"/>
          <w:szCs w:val="21"/>
        </w:rPr>
        <w:t>或</w:t>
      </w:r>
      <w:r>
        <w:rPr>
          <w:rFonts w:hint="eastAsia"/>
          <w:sz w:val="21"/>
          <w:szCs w:val="21"/>
          <w:lang w:eastAsia="zh-CN"/>
        </w:rPr>
        <w:t>管理云平台</w:t>
      </w:r>
      <w:r>
        <w:rPr>
          <w:sz w:val="21"/>
          <w:szCs w:val="21"/>
        </w:rPr>
        <w:t>系统集成</w:t>
      </w:r>
      <w:r>
        <w:rPr>
          <w:rFonts w:hint="eastAsia"/>
          <w:sz w:val="21"/>
          <w:szCs w:val="21"/>
        </w:rPr>
        <w:t>设备</w:t>
      </w:r>
      <w:r>
        <w:rPr>
          <w:sz w:val="21"/>
          <w:szCs w:val="21"/>
        </w:rPr>
        <w:t>的生产管理经验；</w:t>
      </w:r>
    </w:p>
    <w:p w14:paraId="28CD0339">
      <w:pPr>
        <w:widowControl/>
        <w:numPr>
          <w:ilvl w:val="0"/>
          <w:numId w:val="34"/>
        </w:numPr>
        <w:adjustRightInd w:val="0"/>
        <w:snapToGrid w:val="0"/>
        <w:jc w:val="both"/>
        <w:rPr>
          <w:sz w:val="21"/>
          <w:szCs w:val="21"/>
        </w:rPr>
      </w:pPr>
      <w:r>
        <w:rPr>
          <w:sz w:val="21"/>
          <w:szCs w:val="21"/>
        </w:rPr>
        <w:t>在类似工程中担任过本职务；</w:t>
      </w:r>
    </w:p>
    <w:p w14:paraId="51C7C7FD">
      <w:pPr>
        <w:widowControl/>
        <w:numPr>
          <w:ilvl w:val="0"/>
          <w:numId w:val="34"/>
        </w:numPr>
        <w:adjustRightInd w:val="0"/>
        <w:snapToGrid w:val="0"/>
        <w:jc w:val="both"/>
        <w:rPr>
          <w:sz w:val="21"/>
          <w:szCs w:val="21"/>
        </w:rPr>
      </w:pPr>
      <w:r>
        <w:rPr>
          <w:sz w:val="21"/>
          <w:szCs w:val="21"/>
        </w:rPr>
        <w:t>熟悉</w:t>
      </w:r>
      <w:r>
        <w:rPr>
          <w:rFonts w:hint="eastAsia"/>
          <w:sz w:val="21"/>
          <w:szCs w:val="21"/>
        </w:rPr>
        <w:t>信息系统</w:t>
      </w:r>
      <w:r>
        <w:rPr>
          <w:sz w:val="21"/>
          <w:szCs w:val="21"/>
        </w:rPr>
        <w:t>或</w:t>
      </w:r>
      <w:r>
        <w:rPr>
          <w:rFonts w:hint="eastAsia"/>
          <w:sz w:val="21"/>
          <w:szCs w:val="21"/>
          <w:lang w:eastAsia="zh-CN"/>
        </w:rPr>
        <w:t>管理云平台</w:t>
      </w:r>
      <w:r>
        <w:rPr>
          <w:sz w:val="21"/>
          <w:szCs w:val="21"/>
        </w:rPr>
        <w:t>系统集成</w:t>
      </w:r>
      <w:r>
        <w:rPr>
          <w:rFonts w:hint="eastAsia"/>
          <w:sz w:val="21"/>
          <w:szCs w:val="21"/>
        </w:rPr>
        <w:t>国际、</w:t>
      </w:r>
      <w:r>
        <w:rPr>
          <w:sz w:val="21"/>
          <w:szCs w:val="21"/>
        </w:rPr>
        <w:t>国家有关</w:t>
      </w:r>
      <w:r>
        <w:rPr>
          <w:rFonts w:hint="eastAsia"/>
          <w:sz w:val="21"/>
          <w:szCs w:val="21"/>
        </w:rPr>
        <w:t>技术</w:t>
      </w:r>
      <w:r>
        <w:rPr>
          <w:sz w:val="21"/>
          <w:szCs w:val="21"/>
        </w:rPr>
        <w:t>标准；</w:t>
      </w:r>
    </w:p>
    <w:p w14:paraId="1E4E1EEB">
      <w:pPr>
        <w:widowControl/>
        <w:numPr>
          <w:ilvl w:val="0"/>
          <w:numId w:val="34"/>
        </w:numPr>
        <w:adjustRightInd w:val="0"/>
        <w:snapToGrid w:val="0"/>
        <w:jc w:val="both"/>
        <w:rPr>
          <w:sz w:val="21"/>
          <w:szCs w:val="21"/>
        </w:rPr>
      </w:pPr>
      <w:r>
        <w:rPr>
          <w:sz w:val="21"/>
          <w:szCs w:val="21"/>
        </w:rPr>
        <w:t>熟悉国内外的生产工艺</w:t>
      </w:r>
      <w:r>
        <w:rPr>
          <w:rFonts w:hint="eastAsia"/>
          <w:sz w:val="21"/>
          <w:szCs w:val="21"/>
        </w:rPr>
        <w:t>。</w:t>
      </w:r>
    </w:p>
    <w:p w14:paraId="14AD0AAA">
      <w:pPr>
        <w:pStyle w:val="5"/>
        <w:rPr>
          <w:color w:val="auto"/>
          <w:szCs w:val="21"/>
        </w:rPr>
      </w:pPr>
      <w:r>
        <w:rPr>
          <w:color w:val="auto"/>
          <w:szCs w:val="21"/>
        </w:rPr>
        <w:t>测试检验管理人员</w:t>
      </w:r>
      <w:r>
        <w:rPr>
          <w:rFonts w:hint="eastAsia"/>
          <w:color w:val="auto"/>
          <w:szCs w:val="21"/>
        </w:rPr>
        <w:t>的要求（不限于此）：</w:t>
      </w:r>
    </w:p>
    <w:p w14:paraId="7889ADA5">
      <w:pPr>
        <w:widowControl/>
        <w:numPr>
          <w:ilvl w:val="0"/>
          <w:numId w:val="34"/>
        </w:numPr>
        <w:adjustRightInd w:val="0"/>
        <w:snapToGrid w:val="0"/>
        <w:jc w:val="both"/>
        <w:rPr>
          <w:sz w:val="21"/>
          <w:szCs w:val="21"/>
        </w:rPr>
      </w:pPr>
      <w:r>
        <w:rPr>
          <w:sz w:val="21"/>
          <w:szCs w:val="21"/>
        </w:rPr>
        <w:t>具有</w:t>
      </w:r>
      <w:r>
        <w:rPr>
          <w:rFonts w:hint="eastAsia"/>
          <w:sz w:val="21"/>
          <w:szCs w:val="21"/>
        </w:rPr>
        <w:t>信息网络系统</w:t>
      </w:r>
      <w:r>
        <w:rPr>
          <w:sz w:val="21"/>
          <w:szCs w:val="21"/>
        </w:rPr>
        <w:t>或</w:t>
      </w:r>
      <w:r>
        <w:rPr>
          <w:rFonts w:hint="eastAsia"/>
          <w:sz w:val="21"/>
          <w:szCs w:val="21"/>
          <w:lang w:eastAsia="zh-CN"/>
        </w:rPr>
        <w:t>管理云平台</w:t>
      </w:r>
      <w:r>
        <w:rPr>
          <w:sz w:val="21"/>
          <w:szCs w:val="21"/>
        </w:rPr>
        <w:t>系统集成设备的检测经验；</w:t>
      </w:r>
    </w:p>
    <w:p w14:paraId="61711C0E">
      <w:pPr>
        <w:widowControl/>
        <w:numPr>
          <w:ilvl w:val="0"/>
          <w:numId w:val="34"/>
        </w:numPr>
        <w:adjustRightInd w:val="0"/>
        <w:snapToGrid w:val="0"/>
        <w:jc w:val="both"/>
        <w:rPr>
          <w:sz w:val="21"/>
          <w:szCs w:val="21"/>
        </w:rPr>
      </w:pPr>
      <w:r>
        <w:rPr>
          <w:sz w:val="21"/>
          <w:szCs w:val="21"/>
        </w:rPr>
        <w:t>在类似</w:t>
      </w:r>
      <w:r>
        <w:rPr>
          <w:rFonts w:hint="eastAsia"/>
          <w:sz w:val="21"/>
          <w:szCs w:val="21"/>
        </w:rPr>
        <w:t>信息系统</w:t>
      </w:r>
      <w:r>
        <w:rPr>
          <w:sz w:val="21"/>
          <w:szCs w:val="21"/>
        </w:rPr>
        <w:t>或</w:t>
      </w:r>
      <w:r>
        <w:rPr>
          <w:rFonts w:hint="eastAsia"/>
          <w:sz w:val="21"/>
          <w:szCs w:val="21"/>
          <w:lang w:eastAsia="zh-CN"/>
        </w:rPr>
        <w:t>管理云平台</w:t>
      </w:r>
      <w:r>
        <w:rPr>
          <w:sz w:val="21"/>
          <w:szCs w:val="21"/>
        </w:rPr>
        <w:t>系统集成</w:t>
      </w:r>
      <w:r>
        <w:rPr>
          <w:rFonts w:hint="eastAsia"/>
          <w:sz w:val="21"/>
          <w:szCs w:val="21"/>
        </w:rPr>
        <w:t>项目</w:t>
      </w:r>
      <w:r>
        <w:rPr>
          <w:sz w:val="21"/>
          <w:szCs w:val="21"/>
        </w:rPr>
        <w:t>中担任过本职务；</w:t>
      </w:r>
    </w:p>
    <w:p w14:paraId="478BFDE6">
      <w:pPr>
        <w:widowControl/>
        <w:numPr>
          <w:ilvl w:val="0"/>
          <w:numId w:val="34"/>
        </w:numPr>
        <w:adjustRightInd w:val="0"/>
        <w:snapToGrid w:val="0"/>
        <w:jc w:val="both"/>
        <w:rPr>
          <w:sz w:val="21"/>
          <w:szCs w:val="21"/>
        </w:rPr>
      </w:pPr>
      <w:r>
        <w:rPr>
          <w:sz w:val="21"/>
          <w:szCs w:val="21"/>
        </w:rPr>
        <w:t>熟悉</w:t>
      </w:r>
      <w:r>
        <w:rPr>
          <w:rFonts w:hint="eastAsia"/>
          <w:sz w:val="21"/>
          <w:szCs w:val="21"/>
        </w:rPr>
        <w:t>信息系统</w:t>
      </w:r>
      <w:r>
        <w:rPr>
          <w:sz w:val="21"/>
          <w:szCs w:val="21"/>
        </w:rPr>
        <w:t>国家有关产品检测标准</w:t>
      </w:r>
      <w:r>
        <w:rPr>
          <w:rFonts w:hint="eastAsia"/>
          <w:sz w:val="21"/>
          <w:szCs w:val="21"/>
        </w:rPr>
        <w:t>。</w:t>
      </w:r>
    </w:p>
    <w:p w14:paraId="17E35F9E">
      <w:pPr>
        <w:pStyle w:val="5"/>
        <w:rPr>
          <w:color w:val="auto"/>
          <w:szCs w:val="21"/>
        </w:rPr>
      </w:pPr>
      <w:r>
        <w:rPr>
          <w:rFonts w:hint="eastAsia"/>
          <w:color w:val="auto"/>
          <w:szCs w:val="21"/>
        </w:rPr>
        <w:t>现场管理人员的要求（不限于此）</w:t>
      </w:r>
    </w:p>
    <w:p w14:paraId="2DFE65E4">
      <w:pPr>
        <w:widowControl/>
        <w:numPr>
          <w:ilvl w:val="0"/>
          <w:numId w:val="34"/>
        </w:numPr>
        <w:adjustRightInd w:val="0"/>
        <w:snapToGrid w:val="0"/>
        <w:jc w:val="both"/>
        <w:rPr>
          <w:sz w:val="21"/>
          <w:szCs w:val="21"/>
        </w:rPr>
      </w:pPr>
      <w:r>
        <w:rPr>
          <w:sz w:val="21"/>
          <w:szCs w:val="21"/>
        </w:rPr>
        <w:t>在类似</w:t>
      </w:r>
      <w:r>
        <w:rPr>
          <w:rFonts w:hint="eastAsia"/>
          <w:sz w:val="21"/>
          <w:szCs w:val="21"/>
        </w:rPr>
        <w:t>项目</w:t>
      </w:r>
      <w:r>
        <w:rPr>
          <w:sz w:val="21"/>
          <w:szCs w:val="21"/>
        </w:rPr>
        <w:t>中担任过本职务；</w:t>
      </w:r>
    </w:p>
    <w:p w14:paraId="7FB2B295">
      <w:pPr>
        <w:widowControl/>
        <w:numPr>
          <w:ilvl w:val="0"/>
          <w:numId w:val="34"/>
        </w:numPr>
        <w:adjustRightInd w:val="0"/>
        <w:snapToGrid w:val="0"/>
        <w:jc w:val="both"/>
        <w:rPr>
          <w:sz w:val="21"/>
          <w:szCs w:val="21"/>
        </w:rPr>
      </w:pPr>
      <w:r>
        <w:rPr>
          <w:rFonts w:hint="eastAsia"/>
          <w:sz w:val="21"/>
          <w:szCs w:val="21"/>
        </w:rPr>
        <w:t>具有信息系统集成或</w:t>
      </w:r>
      <w:r>
        <w:rPr>
          <w:rFonts w:hint="eastAsia"/>
          <w:sz w:val="21"/>
          <w:szCs w:val="21"/>
          <w:lang w:eastAsia="zh-CN"/>
        </w:rPr>
        <w:t>管理云平台</w:t>
      </w:r>
      <w:r>
        <w:rPr>
          <w:sz w:val="21"/>
          <w:szCs w:val="21"/>
        </w:rPr>
        <w:t>系统集成项目</w:t>
      </w:r>
      <w:r>
        <w:rPr>
          <w:rFonts w:hint="eastAsia"/>
          <w:sz w:val="21"/>
          <w:szCs w:val="21"/>
        </w:rPr>
        <w:t>设备</w:t>
      </w:r>
      <w:r>
        <w:rPr>
          <w:rFonts w:hint="eastAsia"/>
          <w:sz w:val="21"/>
          <w:szCs w:val="21"/>
          <w:lang w:eastAsia="zh-CN"/>
        </w:rPr>
        <w:t>准备</w:t>
      </w:r>
      <w:r>
        <w:rPr>
          <w:rFonts w:hint="eastAsia"/>
          <w:sz w:val="21"/>
          <w:szCs w:val="21"/>
        </w:rPr>
        <w:t>、</w:t>
      </w:r>
      <w:r>
        <w:rPr>
          <w:rFonts w:hint="eastAsia"/>
          <w:sz w:val="21"/>
          <w:szCs w:val="21"/>
          <w:lang w:eastAsia="zh-CN"/>
        </w:rPr>
        <w:t>部署、</w:t>
      </w:r>
      <w:r>
        <w:rPr>
          <w:rFonts w:hint="eastAsia"/>
          <w:sz w:val="21"/>
          <w:szCs w:val="21"/>
        </w:rPr>
        <w:t>现场配合、处理故障等方面的经验</w:t>
      </w:r>
      <w:r>
        <w:rPr>
          <w:sz w:val="21"/>
          <w:szCs w:val="21"/>
        </w:rPr>
        <w:t>；</w:t>
      </w:r>
    </w:p>
    <w:p w14:paraId="6F4A513B">
      <w:pPr>
        <w:widowControl/>
        <w:numPr>
          <w:ilvl w:val="0"/>
          <w:numId w:val="34"/>
        </w:numPr>
        <w:adjustRightInd w:val="0"/>
        <w:snapToGrid w:val="0"/>
        <w:jc w:val="both"/>
        <w:rPr>
          <w:sz w:val="21"/>
          <w:szCs w:val="21"/>
        </w:rPr>
      </w:pPr>
      <w:r>
        <w:rPr>
          <w:sz w:val="21"/>
          <w:szCs w:val="21"/>
        </w:rPr>
        <w:t>熟悉</w:t>
      </w:r>
      <w:r>
        <w:rPr>
          <w:rFonts w:hint="eastAsia"/>
          <w:sz w:val="21"/>
          <w:szCs w:val="21"/>
        </w:rPr>
        <w:t>信息系统</w:t>
      </w:r>
      <w:r>
        <w:rPr>
          <w:sz w:val="21"/>
          <w:szCs w:val="21"/>
        </w:rPr>
        <w:t>或</w:t>
      </w:r>
      <w:r>
        <w:rPr>
          <w:rFonts w:hint="eastAsia"/>
          <w:sz w:val="21"/>
          <w:szCs w:val="21"/>
          <w:lang w:eastAsia="zh-CN"/>
        </w:rPr>
        <w:t>管理云平台</w:t>
      </w:r>
      <w:r>
        <w:rPr>
          <w:sz w:val="21"/>
          <w:szCs w:val="21"/>
        </w:rPr>
        <w:t>系统集成</w:t>
      </w:r>
      <w:r>
        <w:rPr>
          <w:rFonts w:hint="eastAsia"/>
          <w:sz w:val="21"/>
          <w:szCs w:val="21"/>
        </w:rPr>
        <w:t>设备的使用、调试、维修。</w:t>
      </w:r>
    </w:p>
    <w:p w14:paraId="34350189">
      <w:pPr>
        <w:pStyle w:val="5"/>
        <w:rPr>
          <w:color w:val="auto"/>
          <w:szCs w:val="21"/>
        </w:rPr>
      </w:pPr>
      <w:r>
        <w:rPr>
          <w:color w:val="auto"/>
          <w:szCs w:val="21"/>
        </w:rPr>
        <w:t>文档管理人员</w:t>
      </w:r>
    </w:p>
    <w:p w14:paraId="5114F3B4">
      <w:pPr>
        <w:widowControl/>
        <w:numPr>
          <w:ilvl w:val="0"/>
          <w:numId w:val="34"/>
        </w:numPr>
        <w:adjustRightInd w:val="0"/>
        <w:snapToGrid w:val="0"/>
        <w:jc w:val="both"/>
        <w:rPr>
          <w:sz w:val="21"/>
          <w:szCs w:val="21"/>
        </w:rPr>
      </w:pPr>
      <w:r>
        <w:rPr>
          <w:sz w:val="21"/>
          <w:szCs w:val="21"/>
        </w:rPr>
        <w:t>具有类似工程图纸、文件管理经验；</w:t>
      </w:r>
    </w:p>
    <w:p w14:paraId="2005DAE1">
      <w:pPr>
        <w:widowControl/>
        <w:numPr>
          <w:ilvl w:val="0"/>
          <w:numId w:val="34"/>
        </w:numPr>
        <w:adjustRightInd w:val="0"/>
        <w:snapToGrid w:val="0"/>
        <w:jc w:val="both"/>
        <w:rPr>
          <w:sz w:val="21"/>
          <w:szCs w:val="21"/>
        </w:rPr>
      </w:pPr>
      <w:r>
        <w:rPr>
          <w:sz w:val="21"/>
          <w:szCs w:val="21"/>
        </w:rPr>
        <w:t>在类似工程担任过本职</w:t>
      </w:r>
      <w:r>
        <w:rPr>
          <w:rFonts w:hint="eastAsia"/>
          <w:sz w:val="21"/>
          <w:szCs w:val="21"/>
        </w:rPr>
        <w:t>务</w:t>
      </w:r>
      <w:r>
        <w:rPr>
          <w:sz w:val="21"/>
          <w:szCs w:val="21"/>
        </w:rPr>
        <w:t>；</w:t>
      </w:r>
    </w:p>
    <w:p w14:paraId="0502D93B">
      <w:pPr>
        <w:widowControl/>
        <w:numPr>
          <w:ilvl w:val="0"/>
          <w:numId w:val="34"/>
        </w:numPr>
        <w:adjustRightInd w:val="0"/>
        <w:snapToGrid w:val="0"/>
        <w:jc w:val="both"/>
        <w:rPr>
          <w:sz w:val="21"/>
          <w:szCs w:val="21"/>
        </w:rPr>
      </w:pPr>
      <w:r>
        <w:rPr>
          <w:sz w:val="21"/>
          <w:szCs w:val="21"/>
        </w:rPr>
        <w:t>熟悉国家有关标准（例如：图形符号、文件编制的规定</w:t>
      </w:r>
      <w:r>
        <w:rPr>
          <w:rFonts w:hint="eastAsia"/>
          <w:sz w:val="21"/>
          <w:szCs w:val="21"/>
        </w:rPr>
        <w:t>等</w:t>
      </w:r>
      <w:r>
        <w:rPr>
          <w:sz w:val="21"/>
          <w:szCs w:val="21"/>
        </w:rPr>
        <w:t>）</w:t>
      </w:r>
      <w:r>
        <w:rPr>
          <w:rFonts w:hint="eastAsia"/>
          <w:sz w:val="21"/>
          <w:szCs w:val="21"/>
        </w:rPr>
        <w:t>。</w:t>
      </w:r>
    </w:p>
    <w:p w14:paraId="753E3C7C">
      <w:pPr>
        <w:pStyle w:val="5"/>
        <w:rPr>
          <w:color w:val="auto"/>
          <w:szCs w:val="21"/>
        </w:rPr>
      </w:pPr>
      <w:r>
        <w:rPr>
          <w:color w:val="auto"/>
          <w:szCs w:val="21"/>
        </w:rPr>
        <w:t>组织机构人员的管理</w:t>
      </w:r>
    </w:p>
    <w:p w14:paraId="6F7BBEE9">
      <w:pPr>
        <w:pStyle w:val="1221"/>
        <w:jc w:val="both"/>
        <w:rPr>
          <w:szCs w:val="21"/>
        </w:rPr>
      </w:pPr>
      <w:r>
        <w:rPr>
          <w:rFonts w:hint="eastAsia"/>
          <w:szCs w:val="21"/>
        </w:rPr>
        <w:t>项目工作开始后，</w:t>
      </w:r>
      <w:r>
        <w:rPr>
          <w:szCs w:val="21"/>
        </w:rPr>
        <w:t>投标人不得随意更换项目管理人员。</w:t>
      </w:r>
      <w:r>
        <w:rPr>
          <w:rFonts w:hint="eastAsia"/>
          <w:szCs w:val="21"/>
        </w:rPr>
        <w:t>招标人有权根据工程实施的需要，调整人员的配置，投标人应配合，并不得提出额外要求。只要招标人认为项目机构人员不能正确及时地履行其职责，招标人有权要求撤换该等人员。投标人必须无条件的按招标人的要求办理，投标人不得以任何理由为借口不撤换该等人员，投标人必须在接到通知后五日内做出回应，并根据招标人要求提供拟变更人员的情况说明，经招标人审查批准后，在十日内更换相应人员。在合同履行期间原则上不允许项目人员变动（若确需更换的，投标人应以书面形式报招标人，经招标人审批通过后方可更换），擅自变更项目管理机构人员的，必须在五日内改正。投标人承诺的人员未到位，或者到位的人员不符合要求，在招标人要求的更换期限未更换到位，招标人有权就缺席人员相关费用从任何一次工程款支付中直接扣减，并有权追偿因人员未到位或不符合要求给招标人带来的其它一切损失。因投标人合同执行不力，或者违约的情况下，招标人有权终止与投标人的合同关系，没收全部履约保证金，并保留追究其经济责任和其它相应责任的权力</w:t>
      </w:r>
      <w:r>
        <w:rPr>
          <w:rFonts w:hint="cs"/>
          <w:szCs w:val="21"/>
        </w:rPr>
        <w:t>。</w:t>
      </w:r>
    </w:p>
    <w:p w14:paraId="0431D3CD">
      <w:pPr>
        <w:pStyle w:val="1221"/>
        <w:jc w:val="both"/>
        <w:rPr>
          <w:szCs w:val="21"/>
        </w:rPr>
      </w:pPr>
      <w:r>
        <w:rPr>
          <w:rFonts w:hint="eastAsia"/>
          <w:szCs w:val="21"/>
        </w:rPr>
        <w:t>项目经理和项目技术负责人在南宁现场的时间每年不少于6个月。在项目的安装调试阶段，</w:t>
      </w:r>
      <w:r>
        <w:rPr>
          <w:szCs w:val="21"/>
        </w:rPr>
        <w:t>项目经理</w:t>
      </w:r>
      <w:r>
        <w:rPr>
          <w:rFonts w:hint="eastAsia"/>
          <w:szCs w:val="21"/>
        </w:rPr>
        <w:t>和项目技术负责人不得离开项目所在地（其承诺应列在相应的合同条款中）。</w:t>
      </w:r>
    </w:p>
    <w:p w14:paraId="718766D2">
      <w:pPr>
        <w:pStyle w:val="4"/>
        <w:rPr>
          <w:sz w:val="21"/>
          <w:szCs w:val="21"/>
        </w:rPr>
      </w:pPr>
      <w:bookmarkStart w:id="711" w:name="_Toc218142182"/>
      <w:bookmarkStart w:id="712" w:name="_Toc128141007"/>
      <w:bookmarkStart w:id="713" w:name="_Toc2284"/>
      <w:bookmarkStart w:id="714" w:name="_Toc290373422"/>
      <w:bookmarkStart w:id="715" w:name="_Toc128140582"/>
      <w:bookmarkStart w:id="716" w:name="_Toc128138095"/>
      <w:bookmarkStart w:id="717" w:name="_Toc214703954"/>
      <w:bookmarkStart w:id="718" w:name="_Toc128139607"/>
      <w:bookmarkStart w:id="719" w:name="_Toc231185171"/>
      <w:bookmarkStart w:id="720" w:name="_Toc234326808"/>
      <w:bookmarkStart w:id="721" w:name="_Toc7271"/>
      <w:bookmarkStart w:id="722" w:name="_Toc130291563"/>
      <w:bookmarkStart w:id="723" w:name="_Toc217105767"/>
      <w:bookmarkStart w:id="724" w:name="_Toc128223288"/>
      <w:bookmarkStart w:id="725" w:name="_Toc128139326"/>
      <w:bookmarkStart w:id="726" w:name="_Toc218141212"/>
      <w:bookmarkStart w:id="727" w:name="_Toc128138711"/>
      <w:bookmarkStart w:id="728" w:name="_Toc218141680"/>
      <w:bookmarkStart w:id="729" w:name="_Toc128137833"/>
      <w:bookmarkStart w:id="730" w:name="_Toc234326540"/>
      <w:bookmarkStart w:id="731" w:name="_Toc212873916"/>
      <w:bookmarkStart w:id="732" w:name="_Toc213477256"/>
      <w:bookmarkStart w:id="733" w:name="_Toc218143873"/>
      <w:bookmarkStart w:id="734" w:name="_Toc218144163"/>
      <w:bookmarkStart w:id="735" w:name="_Toc214704203"/>
      <w:bookmarkStart w:id="736" w:name="_Toc218144665"/>
      <w:bookmarkStart w:id="737" w:name="_Toc213407851"/>
      <w:bookmarkStart w:id="738" w:name="_Toc218143442"/>
      <w:bookmarkStart w:id="739" w:name="_Toc218147592"/>
      <w:bookmarkStart w:id="740" w:name="_Toc128138341"/>
      <w:bookmarkStart w:id="741" w:name="_Toc128141484"/>
      <w:bookmarkStart w:id="742" w:name="_Toc215885550"/>
      <w:bookmarkStart w:id="743" w:name="_Toc128139113"/>
      <w:bookmarkStart w:id="744" w:name="_Toc128120958"/>
      <w:bookmarkStart w:id="745" w:name="_Toc215889463"/>
      <w:bookmarkStart w:id="746" w:name="_Toc214704452"/>
      <w:bookmarkStart w:id="747" w:name="_Toc218144414"/>
      <w:bookmarkStart w:id="748" w:name="_Toc128140015"/>
      <w:bookmarkStart w:id="749" w:name="_Toc234326004"/>
      <w:bookmarkStart w:id="750" w:name="_Toc212872596"/>
      <w:bookmarkStart w:id="751" w:name="_Toc218141931"/>
      <w:bookmarkStart w:id="752" w:name="_Toc218145798"/>
      <w:bookmarkStart w:id="753" w:name="_Toc131867892"/>
      <w:bookmarkStart w:id="754" w:name="_Toc218145216"/>
      <w:bookmarkStart w:id="755" w:name="_Toc128122928"/>
      <w:bookmarkStart w:id="756" w:name="_Toc237702910"/>
      <w:bookmarkStart w:id="757" w:name="_Toc213477502"/>
      <w:bookmarkStart w:id="758" w:name="_Toc259981537"/>
      <w:bookmarkStart w:id="759" w:name="_Toc218144916"/>
      <w:bookmarkStart w:id="760" w:name="_Toc234326272"/>
      <w:bookmarkStart w:id="761" w:name="_Toc128141185"/>
      <w:bookmarkStart w:id="762" w:name="_Toc212869954"/>
      <w:bookmarkStart w:id="763" w:name="_Toc218147341"/>
      <w:r>
        <w:rPr>
          <w:sz w:val="21"/>
          <w:szCs w:val="21"/>
        </w:rPr>
        <w:t>项目计划</w:t>
      </w:r>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p>
    <w:p w14:paraId="5EEE6E01">
      <w:pPr>
        <w:pStyle w:val="5"/>
        <w:rPr>
          <w:color w:val="auto"/>
          <w:szCs w:val="21"/>
        </w:rPr>
      </w:pPr>
      <w:r>
        <w:rPr>
          <w:color w:val="auto"/>
          <w:szCs w:val="21"/>
        </w:rPr>
        <w:t>项目计划</w:t>
      </w:r>
    </w:p>
    <w:p w14:paraId="5545C852">
      <w:pPr>
        <w:pStyle w:val="1221"/>
        <w:jc w:val="both"/>
        <w:rPr>
          <w:szCs w:val="21"/>
        </w:rPr>
      </w:pPr>
      <w:r>
        <w:rPr>
          <w:szCs w:val="21"/>
        </w:rPr>
        <w:t>投标人必须根据本</w:t>
      </w:r>
      <w:r>
        <w:rPr>
          <w:rFonts w:hint="eastAsia"/>
          <w:szCs w:val="21"/>
        </w:rPr>
        <w:t>项目</w:t>
      </w:r>
      <w:r>
        <w:rPr>
          <w:szCs w:val="21"/>
        </w:rPr>
        <w:t>的工期要求制定切实可行的项目进度计划，</w:t>
      </w:r>
      <w:r>
        <w:rPr>
          <w:rFonts w:hint="eastAsia"/>
          <w:szCs w:val="21"/>
        </w:rPr>
        <w:t>向</w:t>
      </w:r>
      <w:r>
        <w:rPr>
          <w:szCs w:val="21"/>
        </w:rPr>
        <w:t>招标人</w:t>
      </w:r>
      <w:r>
        <w:rPr>
          <w:rFonts w:hint="eastAsia"/>
          <w:szCs w:val="21"/>
        </w:rPr>
        <w:t>提交项目进度计划</w:t>
      </w:r>
      <w:r>
        <w:rPr>
          <w:szCs w:val="21"/>
        </w:rPr>
        <w:t>。</w:t>
      </w:r>
      <w:r>
        <w:rPr>
          <w:rFonts w:hint="eastAsia"/>
          <w:szCs w:val="21"/>
        </w:rPr>
        <w:t>投标人应严格按照经招标人批准的总工期计划和各阶段计划履行合同。</w:t>
      </w:r>
    </w:p>
    <w:p w14:paraId="668BF5F3">
      <w:pPr>
        <w:pStyle w:val="1221"/>
        <w:jc w:val="both"/>
        <w:rPr>
          <w:szCs w:val="21"/>
        </w:rPr>
      </w:pPr>
      <w:r>
        <w:rPr>
          <w:rFonts w:hint="eastAsia"/>
          <w:szCs w:val="21"/>
        </w:rPr>
        <w:t>尽管在合同中招标人做出了关键工期的要求以及工程的初步计划，但招标人有权根据工程客观条件而改变计划和关键工期时间，在招标人提出改变的计划后，投标人必须根据招标人提出的工期计划，提出详细的计划实施方案、措施，保证实现招标人提出计划的按期实施，投标人应无条件满足招标人所改变的工期计划。</w:t>
      </w:r>
    </w:p>
    <w:p w14:paraId="36FBEBFF">
      <w:pPr>
        <w:pStyle w:val="1221"/>
        <w:jc w:val="both"/>
        <w:rPr>
          <w:szCs w:val="21"/>
        </w:rPr>
      </w:pPr>
      <w:r>
        <w:rPr>
          <w:szCs w:val="21"/>
        </w:rPr>
        <w:t>投标人根据项目进度计划制定月、季、年度项目计划，</w:t>
      </w:r>
      <w:r>
        <w:rPr>
          <w:rFonts w:hint="eastAsia"/>
          <w:szCs w:val="21"/>
        </w:rPr>
        <w:t>经</w:t>
      </w:r>
      <w:r>
        <w:rPr>
          <w:szCs w:val="21"/>
        </w:rPr>
        <w:t>招标人确认批准。</w:t>
      </w:r>
    </w:p>
    <w:p w14:paraId="249280C8">
      <w:pPr>
        <w:pStyle w:val="5"/>
        <w:rPr>
          <w:color w:val="auto"/>
          <w:szCs w:val="21"/>
        </w:rPr>
      </w:pPr>
      <w:r>
        <w:rPr>
          <w:color w:val="auto"/>
          <w:szCs w:val="21"/>
        </w:rPr>
        <w:t>投标人在投标时必须提出如下计划建议（但不限于此）：</w:t>
      </w:r>
    </w:p>
    <w:p w14:paraId="4DC38EC5">
      <w:pPr>
        <w:widowControl/>
        <w:numPr>
          <w:ilvl w:val="0"/>
          <w:numId w:val="34"/>
        </w:numPr>
        <w:adjustRightInd w:val="0"/>
        <w:snapToGrid w:val="0"/>
        <w:jc w:val="both"/>
        <w:rPr>
          <w:sz w:val="21"/>
          <w:szCs w:val="21"/>
        </w:rPr>
      </w:pPr>
      <w:r>
        <w:rPr>
          <w:sz w:val="21"/>
          <w:szCs w:val="21"/>
        </w:rPr>
        <w:t>合同执行总体进度控制计划。</w:t>
      </w:r>
    </w:p>
    <w:p w14:paraId="68C5FF60">
      <w:pPr>
        <w:widowControl/>
        <w:numPr>
          <w:ilvl w:val="0"/>
          <w:numId w:val="34"/>
        </w:numPr>
        <w:adjustRightInd w:val="0"/>
        <w:snapToGrid w:val="0"/>
        <w:jc w:val="both"/>
        <w:rPr>
          <w:sz w:val="21"/>
          <w:szCs w:val="21"/>
        </w:rPr>
      </w:pPr>
      <w:r>
        <w:rPr>
          <w:rFonts w:hint="eastAsia"/>
          <w:sz w:val="21"/>
          <w:szCs w:val="21"/>
          <w:lang w:eastAsia="zh-CN"/>
        </w:rPr>
        <w:t>部署</w:t>
      </w:r>
      <w:r>
        <w:rPr>
          <w:sz w:val="21"/>
          <w:szCs w:val="21"/>
        </w:rPr>
        <w:t>进度计划。</w:t>
      </w:r>
    </w:p>
    <w:p w14:paraId="24F0DE60">
      <w:pPr>
        <w:widowControl/>
        <w:numPr>
          <w:ilvl w:val="0"/>
          <w:numId w:val="34"/>
        </w:numPr>
        <w:adjustRightInd w:val="0"/>
        <w:snapToGrid w:val="0"/>
        <w:jc w:val="both"/>
        <w:rPr>
          <w:sz w:val="21"/>
          <w:szCs w:val="21"/>
        </w:rPr>
      </w:pPr>
      <w:r>
        <w:rPr>
          <w:rFonts w:hint="eastAsia"/>
          <w:sz w:val="21"/>
          <w:szCs w:val="21"/>
          <w:lang w:eastAsia="zh-CN"/>
        </w:rPr>
        <w:t>项目规划</w:t>
      </w:r>
      <w:r>
        <w:rPr>
          <w:sz w:val="21"/>
          <w:szCs w:val="21"/>
        </w:rPr>
        <w:t>：要求根据</w:t>
      </w:r>
      <w:r>
        <w:rPr>
          <w:rFonts w:hint="eastAsia"/>
          <w:sz w:val="21"/>
          <w:szCs w:val="21"/>
        </w:rPr>
        <w:t>信息网络系统设备</w:t>
      </w:r>
      <w:r>
        <w:rPr>
          <w:sz w:val="21"/>
          <w:szCs w:val="21"/>
        </w:rPr>
        <w:t>的有关情况，制定</w:t>
      </w:r>
      <w:r>
        <w:rPr>
          <w:rFonts w:hint="eastAsia"/>
          <w:sz w:val="21"/>
          <w:szCs w:val="21"/>
          <w:lang w:eastAsia="zh-CN"/>
        </w:rPr>
        <w:t>技术联络</w:t>
      </w:r>
      <w:r>
        <w:rPr>
          <w:sz w:val="21"/>
          <w:szCs w:val="21"/>
        </w:rPr>
        <w:t>会议的先后次序，使各系统的</w:t>
      </w:r>
      <w:r>
        <w:rPr>
          <w:rFonts w:hint="eastAsia"/>
          <w:sz w:val="21"/>
          <w:szCs w:val="21"/>
          <w:lang w:eastAsia="zh-CN"/>
        </w:rPr>
        <w:t>技术联络</w:t>
      </w:r>
      <w:r>
        <w:rPr>
          <w:sz w:val="21"/>
          <w:szCs w:val="21"/>
        </w:rPr>
        <w:t>会议相互衔接。</w:t>
      </w:r>
    </w:p>
    <w:p w14:paraId="26A37118">
      <w:pPr>
        <w:widowControl/>
        <w:numPr>
          <w:ilvl w:val="0"/>
          <w:numId w:val="34"/>
        </w:numPr>
        <w:adjustRightInd w:val="0"/>
        <w:snapToGrid w:val="0"/>
        <w:jc w:val="both"/>
        <w:rPr>
          <w:sz w:val="21"/>
          <w:szCs w:val="21"/>
        </w:rPr>
      </w:pPr>
      <w:r>
        <w:rPr>
          <w:sz w:val="21"/>
          <w:szCs w:val="21"/>
        </w:rPr>
        <w:t>接口协调计划：应包括接口内容、时间和责任等。</w:t>
      </w:r>
    </w:p>
    <w:p w14:paraId="0D501B4F">
      <w:pPr>
        <w:widowControl/>
        <w:numPr>
          <w:ilvl w:val="0"/>
          <w:numId w:val="34"/>
        </w:numPr>
        <w:adjustRightInd w:val="0"/>
        <w:snapToGrid w:val="0"/>
        <w:jc w:val="both"/>
        <w:rPr>
          <w:sz w:val="21"/>
          <w:szCs w:val="21"/>
        </w:rPr>
      </w:pPr>
      <w:r>
        <w:rPr>
          <w:rFonts w:hint="eastAsia"/>
          <w:sz w:val="21"/>
          <w:szCs w:val="21"/>
        </w:rPr>
        <w:t>设备</w:t>
      </w:r>
      <w:r>
        <w:rPr>
          <w:sz w:val="21"/>
          <w:szCs w:val="21"/>
        </w:rPr>
        <w:t>材料（包括设备的软、硬件）生产、制造进度计划。</w:t>
      </w:r>
    </w:p>
    <w:p w14:paraId="247E6850">
      <w:pPr>
        <w:widowControl/>
        <w:numPr>
          <w:ilvl w:val="0"/>
          <w:numId w:val="34"/>
        </w:numPr>
        <w:adjustRightInd w:val="0"/>
        <w:snapToGrid w:val="0"/>
        <w:jc w:val="both"/>
        <w:rPr>
          <w:sz w:val="21"/>
          <w:szCs w:val="21"/>
        </w:rPr>
      </w:pPr>
      <w:r>
        <w:rPr>
          <w:sz w:val="21"/>
          <w:szCs w:val="21"/>
        </w:rPr>
        <w:t>出厂检验与出厂检验计划：应包括测试和检验的内容、地点和时间等。</w:t>
      </w:r>
    </w:p>
    <w:p w14:paraId="32F0BCAD">
      <w:pPr>
        <w:widowControl/>
        <w:numPr>
          <w:ilvl w:val="0"/>
          <w:numId w:val="34"/>
        </w:numPr>
        <w:adjustRightInd w:val="0"/>
        <w:snapToGrid w:val="0"/>
        <w:jc w:val="both"/>
        <w:rPr>
          <w:sz w:val="21"/>
          <w:szCs w:val="21"/>
        </w:rPr>
      </w:pPr>
      <w:r>
        <w:rPr>
          <w:sz w:val="21"/>
          <w:szCs w:val="21"/>
        </w:rPr>
        <w:t>装运发货进度计划：应包括包装方式、运输方式等。</w:t>
      </w:r>
    </w:p>
    <w:p w14:paraId="4ACCEA6D">
      <w:pPr>
        <w:widowControl/>
        <w:numPr>
          <w:ilvl w:val="0"/>
          <w:numId w:val="34"/>
        </w:numPr>
        <w:adjustRightInd w:val="0"/>
        <w:snapToGrid w:val="0"/>
        <w:jc w:val="both"/>
        <w:rPr>
          <w:sz w:val="21"/>
          <w:szCs w:val="21"/>
        </w:rPr>
      </w:pPr>
      <w:r>
        <w:rPr>
          <w:sz w:val="21"/>
          <w:szCs w:val="21"/>
        </w:rPr>
        <w:t>现场开箱检验计划。</w:t>
      </w:r>
    </w:p>
    <w:p w14:paraId="010E42DB">
      <w:pPr>
        <w:widowControl/>
        <w:numPr>
          <w:ilvl w:val="0"/>
          <w:numId w:val="34"/>
        </w:numPr>
        <w:adjustRightInd w:val="0"/>
        <w:snapToGrid w:val="0"/>
        <w:jc w:val="both"/>
        <w:rPr>
          <w:sz w:val="21"/>
          <w:szCs w:val="21"/>
        </w:rPr>
      </w:pPr>
      <w:r>
        <w:rPr>
          <w:rFonts w:hint="eastAsia"/>
          <w:sz w:val="21"/>
          <w:szCs w:val="21"/>
        </w:rPr>
        <w:t>设备</w:t>
      </w:r>
      <w:r>
        <w:rPr>
          <w:rFonts w:hint="eastAsia"/>
          <w:sz w:val="21"/>
          <w:szCs w:val="21"/>
          <w:lang w:eastAsia="zh-CN"/>
        </w:rPr>
        <w:t>部署</w:t>
      </w:r>
      <w:r>
        <w:rPr>
          <w:rFonts w:hint="eastAsia"/>
          <w:sz w:val="21"/>
          <w:szCs w:val="21"/>
        </w:rPr>
        <w:t>计划。</w:t>
      </w:r>
    </w:p>
    <w:p w14:paraId="633382EE">
      <w:pPr>
        <w:widowControl/>
        <w:numPr>
          <w:ilvl w:val="0"/>
          <w:numId w:val="34"/>
        </w:numPr>
        <w:adjustRightInd w:val="0"/>
        <w:snapToGrid w:val="0"/>
        <w:jc w:val="both"/>
        <w:rPr>
          <w:sz w:val="21"/>
          <w:szCs w:val="21"/>
        </w:rPr>
      </w:pPr>
      <w:r>
        <w:rPr>
          <w:rFonts w:hint="eastAsia"/>
          <w:sz w:val="21"/>
          <w:szCs w:val="21"/>
        </w:rPr>
        <w:t>系统调试</w:t>
      </w:r>
      <w:r>
        <w:rPr>
          <w:sz w:val="21"/>
          <w:szCs w:val="21"/>
        </w:rPr>
        <w:t>计划：应包括</w:t>
      </w:r>
      <w:r>
        <w:rPr>
          <w:rFonts w:hint="eastAsia"/>
          <w:sz w:val="21"/>
          <w:szCs w:val="21"/>
        </w:rPr>
        <w:t>样机接口测试计划、单机调试、</w:t>
      </w:r>
      <w:r>
        <w:rPr>
          <w:sz w:val="21"/>
          <w:szCs w:val="21"/>
        </w:rPr>
        <w:t>系统调试、预验收、试运行、系统验收、质量保证期。</w:t>
      </w:r>
    </w:p>
    <w:p w14:paraId="3427F7A4">
      <w:pPr>
        <w:widowControl/>
        <w:numPr>
          <w:ilvl w:val="0"/>
          <w:numId w:val="34"/>
        </w:numPr>
        <w:adjustRightInd w:val="0"/>
        <w:snapToGrid w:val="0"/>
        <w:jc w:val="both"/>
        <w:rPr>
          <w:sz w:val="21"/>
          <w:szCs w:val="21"/>
        </w:rPr>
      </w:pPr>
      <w:r>
        <w:rPr>
          <w:sz w:val="21"/>
          <w:szCs w:val="21"/>
        </w:rPr>
        <w:t>图纸、文件提交计划：应包括图纸、文件的目录以及提交时间。</w:t>
      </w:r>
    </w:p>
    <w:p w14:paraId="6885B27A">
      <w:pPr>
        <w:widowControl/>
        <w:numPr>
          <w:ilvl w:val="0"/>
          <w:numId w:val="34"/>
        </w:numPr>
        <w:adjustRightInd w:val="0"/>
        <w:snapToGrid w:val="0"/>
        <w:jc w:val="both"/>
        <w:rPr>
          <w:sz w:val="21"/>
          <w:szCs w:val="21"/>
        </w:rPr>
      </w:pPr>
      <w:r>
        <w:rPr>
          <w:sz w:val="21"/>
          <w:szCs w:val="21"/>
        </w:rPr>
        <w:t>培训计划（包括现场培训和厂家培训）。</w:t>
      </w:r>
    </w:p>
    <w:p w14:paraId="685C50A3">
      <w:pPr>
        <w:pStyle w:val="5"/>
        <w:rPr>
          <w:color w:val="auto"/>
          <w:szCs w:val="21"/>
        </w:rPr>
      </w:pPr>
      <w:r>
        <w:rPr>
          <w:color w:val="auto"/>
          <w:szCs w:val="21"/>
        </w:rPr>
        <w:t>投标人应对照合同执行的各个阶段，作出详细的项目管理实施方案，在投标文件中的项目执行计划和项目管理实施方案将作为合同附件，在合同谈判中确认。</w:t>
      </w:r>
    </w:p>
    <w:p w14:paraId="3042416B">
      <w:pPr>
        <w:pStyle w:val="5"/>
        <w:rPr>
          <w:color w:val="auto"/>
          <w:szCs w:val="21"/>
        </w:rPr>
      </w:pPr>
      <w:r>
        <w:rPr>
          <w:color w:val="auto"/>
          <w:szCs w:val="21"/>
        </w:rPr>
        <w:t>在项目实施过程中，投标人对招标人的任何意见和要求（包含：项目变更、索赔、事故处理、供货期改变、技术标准改变、重大实施方案改变</w:t>
      </w:r>
      <w:r>
        <w:rPr>
          <w:rFonts w:hint="eastAsia"/>
          <w:color w:val="auto"/>
          <w:szCs w:val="21"/>
        </w:rPr>
        <w:t>、项目机构人员改变</w:t>
      </w:r>
      <w:r>
        <w:rPr>
          <w:color w:val="auto"/>
          <w:szCs w:val="21"/>
        </w:rPr>
        <w:t>等</w:t>
      </w:r>
      <w:r>
        <w:rPr>
          <w:rFonts w:hint="eastAsia"/>
          <w:color w:val="auto"/>
          <w:szCs w:val="21"/>
        </w:rPr>
        <w:t>实质影响项目实施的</w:t>
      </w:r>
      <w:r>
        <w:rPr>
          <w:color w:val="auto"/>
          <w:szCs w:val="21"/>
        </w:rPr>
        <w:t>问题），均须书面提出，由招标人审批。</w:t>
      </w:r>
    </w:p>
    <w:p w14:paraId="7E46A40A">
      <w:pPr>
        <w:pStyle w:val="4"/>
        <w:rPr>
          <w:sz w:val="21"/>
          <w:szCs w:val="21"/>
        </w:rPr>
      </w:pPr>
      <w:bookmarkStart w:id="764" w:name="_Toc128140583"/>
      <w:bookmarkStart w:id="765" w:name="_Toc217105768"/>
      <w:bookmarkStart w:id="766" w:name="_Toc214704453"/>
      <w:bookmarkStart w:id="767" w:name="_Toc218147593"/>
      <w:bookmarkStart w:id="768" w:name="_Toc218145799"/>
      <w:bookmarkStart w:id="769" w:name="_Toc259981538"/>
      <w:bookmarkStart w:id="770" w:name="_Toc212869955"/>
      <w:bookmarkStart w:id="771" w:name="_Toc213407852"/>
      <w:bookmarkStart w:id="772" w:name="_Toc231185172"/>
      <w:bookmarkStart w:id="773" w:name="_Toc218144666"/>
      <w:bookmarkStart w:id="774" w:name="_Toc12960"/>
      <w:bookmarkStart w:id="775" w:name="_Toc128223289"/>
      <w:bookmarkStart w:id="776" w:name="_Toc290373423"/>
      <w:bookmarkStart w:id="777" w:name="_Toc128138342"/>
      <w:bookmarkStart w:id="778" w:name="_Toc215889464"/>
      <w:bookmarkStart w:id="779" w:name="_Toc128138712"/>
      <w:bookmarkStart w:id="780" w:name="_Toc215885551"/>
      <w:bookmarkStart w:id="781" w:name="_Toc218141681"/>
      <w:bookmarkStart w:id="782" w:name="_Toc214703955"/>
      <w:bookmarkStart w:id="783" w:name="_Toc128137834"/>
      <w:bookmarkStart w:id="784" w:name="_Toc218143443"/>
      <w:bookmarkStart w:id="785" w:name="_Toc213477257"/>
      <w:bookmarkStart w:id="786" w:name="_Toc218144917"/>
      <w:bookmarkStart w:id="787" w:name="_Toc213477503"/>
      <w:bookmarkStart w:id="788" w:name="_Toc218141932"/>
      <w:bookmarkStart w:id="789" w:name="_Toc26871"/>
      <w:bookmarkStart w:id="790" w:name="_Toc218144415"/>
      <w:bookmarkStart w:id="791" w:name="_Toc218141213"/>
      <w:bookmarkStart w:id="792" w:name="_Toc234326273"/>
      <w:bookmarkStart w:id="793" w:name="_Toc218144164"/>
      <w:bookmarkStart w:id="794" w:name="_Toc128141186"/>
      <w:bookmarkStart w:id="795" w:name="_Toc128122929"/>
      <w:bookmarkStart w:id="796" w:name="_Toc128141485"/>
      <w:bookmarkStart w:id="797" w:name="_Toc128138096"/>
      <w:bookmarkStart w:id="798" w:name="_Toc212873917"/>
      <w:bookmarkStart w:id="799" w:name="_Toc218145217"/>
      <w:bookmarkStart w:id="800" w:name="_Toc128120959"/>
      <w:bookmarkStart w:id="801" w:name="_Toc131867893"/>
      <w:bookmarkStart w:id="802" w:name="_Toc218143874"/>
      <w:bookmarkStart w:id="803" w:name="_Toc218142183"/>
      <w:bookmarkStart w:id="804" w:name="_Toc128139327"/>
      <w:bookmarkStart w:id="805" w:name="_Toc212872597"/>
      <w:bookmarkStart w:id="806" w:name="_Toc128140016"/>
      <w:bookmarkStart w:id="807" w:name="_Toc128139114"/>
      <w:bookmarkStart w:id="808" w:name="_Toc237702911"/>
      <w:bookmarkStart w:id="809" w:name="_Toc234326005"/>
      <w:bookmarkStart w:id="810" w:name="_Toc234326809"/>
      <w:bookmarkStart w:id="811" w:name="_Toc234326541"/>
      <w:bookmarkStart w:id="812" w:name="_Toc128139608"/>
      <w:bookmarkStart w:id="813" w:name="_Toc214704204"/>
      <w:bookmarkStart w:id="814" w:name="_Toc218147342"/>
      <w:bookmarkStart w:id="815" w:name="_Toc130291564"/>
      <w:bookmarkStart w:id="816" w:name="_Toc128141008"/>
      <w:r>
        <w:rPr>
          <w:sz w:val="21"/>
          <w:szCs w:val="21"/>
        </w:rPr>
        <w:t>设计控制</w:t>
      </w:r>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p>
    <w:p w14:paraId="62BF3E41">
      <w:pPr>
        <w:pStyle w:val="5"/>
        <w:rPr>
          <w:color w:val="auto"/>
          <w:szCs w:val="21"/>
        </w:rPr>
      </w:pPr>
      <w:r>
        <w:rPr>
          <w:color w:val="auto"/>
          <w:szCs w:val="21"/>
        </w:rPr>
        <w:t>控制范围与责任</w:t>
      </w:r>
    </w:p>
    <w:p w14:paraId="39DEF63C">
      <w:pPr>
        <w:pStyle w:val="1221"/>
        <w:jc w:val="both"/>
        <w:rPr>
          <w:szCs w:val="21"/>
        </w:rPr>
      </w:pPr>
      <w:r>
        <w:rPr>
          <w:szCs w:val="21"/>
        </w:rPr>
        <w:t>投标人对系统/产品</w:t>
      </w:r>
      <w:r>
        <w:rPr>
          <w:rFonts w:hint="eastAsia"/>
          <w:szCs w:val="21"/>
        </w:rPr>
        <w:t>供货商</w:t>
      </w:r>
      <w:r>
        <w:rPr>
          <w:szCs w:val="21"/>
        </w:rPr>
        <w:t>的</w:t>
      </w:r>
      <w:r>
        <w:rPr>
          <w:rFonts w:hint="eastAsia"/>
          <w:szCs w:val="21"/>
          <w:lang w:eastAsia="zh-CN"/>
        </w:rPr>
        <w:t>规划</w:t>
      </w:r>
      <w:r>
        <w:rPr>
          <w:szCs w:val="21"/>
        </w:rPr>
        <w:t>负全责。</w:t>
      </w:r>
    </w:p>
    <w:p w14:paraId="3B18D9DE">
      <w:pPr>
        <w:pStyle w:val="1221"/>
        <w:jc w:val="both"/>
        <w:rPr>
          <w:szCs w:val="21"/>
        </w:rPr>
      </w:pPr>
      <w:r>
        <w:rPr>
          <w:szCs w:val="21"/>
        </w:rPr>
        <w:t>投标人进行的</w:t>
      </w:r>
      <w:r>
        <w:rPr>
          <w:rFonts w:hint="eastAsia"/>
          <w:szCs w:val="21"/>
          <w:lang w:eastAsia="zh-CN"/>
        </w:rPr>
        <w:t>部署</w:t>
      </w:r>
      <w:r>
        <w:rPr>
          <w:szCs w:val="21"/>
        </w:rPr>
        <w:t>控制应按照合同规定的进度计划和程序完成，该程序应包括但不限以下步骤：</w:t>
      </w:r>
    </w:p>
    <w:p w14:paraId="00263005">
      <w:pPr>
        <w:widowControl/>
        <w:numPr>
          <w:ilvl w:val="0"/>
          <w:numId w:val="35"/>
        </w:numPr>
        <w:tabs>
          <w:tab w:val="left" w:pos="1486"/>
        </w:tabs>
        <w:adjustRightInd w:val="0"/>
        <w:snapToGrid w:val="0"/>
        <w:rPr>
          <w:sz w:val="21"/>
          <w:szCs w:val="21"/>
        </w:rPr>
      </w:pPr>
      <w:r>
        <w:rPr>
          <w:sz w:val="21"/>
          <w:szCs w:val="21"/>
        </w:rPr>
        <w:t>与系统</w:t>
      </w:r>
      <w:r>
        <w:rPr>
          <w:rFonts w:hint="eastAsia"/>
          <w:sz w:val="21"/>
          <w:szCs w:val="21"/>
        </w:rPr>
        <w:t>/产品供货</w:t>
      </w:r>
      <w:r>
        <w:rPr>
          <w:sz w:val="21"/>
          <w:szCs w:val="21"/>
        </w:rPr>
        <w:t>商制定</w:t>
      </w:r>
      <w:r>
        <w:rPr>
          <w:rFonts w:hint="eastAsia"/>
          <w:sz w:val="21"/>
          <w:szCs w:val="21"/>
          <w:lang w:eastAsia="zh-CN"/>
        </w:rPr>
        <w:t>技术联络</w:t>
      </w:r>
      <w:r>
        <w:rPr>
          <w:sz w:val="21"/>
          <w:szCs w:val="21"/>
        </w:rPr>
        <w:t>会议的技术文件；</w:t>
      </w:r>
    </w:p>
    <w:p w14:paraId="490F94AE">
      <w:pPr>
        <w:widowControl/>
        <w:numPr>
          <w:ilvl w:val="0"/>
          <w:numId w:val="35"/>
        </w:numPr>
        <w:tabs>
          <w:tab w:val="left" w:pos="1486"/>
        </w:tabs>
        <w:adjustRightInd w:val="0"/>
        <w:snapToGrid w:val="0"/>
        <w:rPr>
          <w:sz w:val="21"/>
          <w:szCs w:val="21"/>
        </w:rPr>
      </w:pPr>
      <w:r>
        <w:rPr>
          <w:sz w:val="21"/>
          <w:szCs w:val="21"/>
        </w:rPr>
        <w:t>召开会议，确认系统功能、系统配置、系统内部接口及与系统相关的所有接口条件；</w:t>
      </w:r>
    </w:p>
    <w:p w14:paraId="06451692">
      <w:pPr>
        <w:widowControl/>
        <w:numPr>
          <w:ilvl w:val="0"/>
          <w:numId w:val="35"/>
        </w:numPr>
        <w:tabs>
          <w:tab w:val="left" w:pos="1486"/>
        </w:tabs>
        <w:adjustRightInd w:val="0"/>
        <w:snapToGrid w:val="0"/>
        <w:rPr>
          <w:sz w:val="21"/>
          <w:szCs w:val="21"/>
        </w:rPr>
      </w:pPr>
      <w:r>
        <w:rPr>
          <w:sz w:val="21"/>
          <w:szCs w:val="21"/>
        </w:rPr>
        <w:t>依据</w:t>
      </w:r>
      <w:r>
        <w:rPr>
          <w:rFonts w:hint="eastAsia"/>
          <w:sz w:val="21"/>
          <w:szCs w:val="21"/>
          <w:lang w:eastAsia="zh-CN"/>
        </w:rPr>
        <w:t>技术联络</w:t>
      </w:r>
      <w:r>
        <w:rPr>
          <w:sz w:val="21"/>
          <w:szCs w:val="21"/>
        </w:rPr>
        <w:t>会议内容，对系统方案优化、并提交详细</w:t>
      </w:r>
      <w:r>
        <w:rPr>
          <w:rFonts w:hint="eastAsia"/>
          <w:sz w:val="21"/>
          <w:szCs w:val="21"/>
          <w:lang w:eastAsia="zh-CN"/>
        </w:rPr>
        <w:t>规划</w:t>
      </w:r>
      <w:r>
        <w:rPr>
          <w:sz w:val="21"/>
          <w:szCs w:val="21"/>
        </w:rPr>
        <w:t>；</w:t>
      </w:r>
    </w:p>
    <w:p w14:paraId="791E8F6D">
      <w:pPr>
        <w:pStyle w:val="1221"/>
        <w:jc w:val="both"/>
        <w:rPr>
          <w:szCs w:val="21"/>
        </w:rPr>
      </w:pPr>
      <w:r>
        <w:rPr>
          <w:szCs w:val="21"/>
        </w:rPr>
        <w:t>为了保证</w:t>
      </w:r>
      <w:r>
        <w:rPr>
          <w:rFonts w:hint="eastAsia"/>
          <w:szCs w:val="21"/>
          <w:lang w:eastAsia="zh-CN"/>
        </w:rPr>
        <w:t>规划</w:t>
      </w:r>
      <w:r>
        <w:rPr>
          <w:szCs w:val="21"/>
        </w:rPr>
        <w:t>的正确性，投标人也应对照招标人提供的基础资料进行与本系统相关的接口条件的校核。</w:t>
      </w:r>
    </w:p>
    <w:p w14:paraId="32535750">
      <w:pPr>
        <w:pStyle w:val="4"/>
        <w:rPr>
          <w:sz w:val="21"/>
          <w:szCs w:val="21"/>
        </w:rPr>
      </w:pPr>
      <w:bookmarkStart w:id="817" w:name="_Toc218144416"/>
      <w:bookmarkStart w:id="818" w:name="_Toc215889465"/>
      <w:bookmarkStart w:id="819" w:name="_Toc218144918"/>
      <w:bookmarkStart w:id="820" w:name="_Toc128120960"/>
      <w:bookmarkStart w:id="821" w:name="_Toc218141682"/>
      <w:bookmarkStart w:id="822" w:name="_Toc128140584"/>
      <w:bookmarkStart w:id="823" w:name="_Toc128139115"/>
      <w:bookmarkStart w:id="824" w:name="_Toc128138097"/>
      <w:bookmarkStart w:id="825" w:name="_Toc128138713"/>
      <w:bookmarkStart w:id="826" w:name="_Toc214704205"/>
      <w:bookmarkStart w:id="827" w:name="_Toc128139328"/>
      <w:bookmarkStart w:id="828" w:name="_Toc234326006"/>
      <w:bookmarkStart w:id="829" w:name="_Toc218143444"/>
      <w:bookmarkStart w:id="830" w:name="_Toc218147594"/>
      <w:bookmarkStart w:id="831" w:name="_Toc128141009"/>
      <w:bookmarkStart w:id="832" w:name="_Toc213407853"/>
      <w:bookmarkStart w:id="833" w:name="_Toc213477504"/>
      <w:bookmarkStart w:id="834" w:name="_Toc212872598"/>
      <w:bookmarkStart w:id="835" w:name="_Toc30277"/>
      <w:bookmarkStart w:id="836" w:name="_Toc231185173"/>
      <w:bookmarkStart w:id="837" w:name="_Toc218142184"/>
      <w:bookmarkStart w:id="838" w:name="_Toc218145218"/>
      <w:bookmarkStart w:id="839" w:name="_Toc217105769"/>
      <w:bookmarkStart w:id="840" w:name="_Toc218141214"/>
      <w:bookmarkStart w:id="841" w:name="_Toc128223290"/>
      <w:bookmarkStart w:id="842" w:name="_Toc259981539"/>
      <w:bookmarkStart w:id="843" w:name="_Toc128138343"/>
      <w:bookmarkStart w:id="844" w:name="_Toc218144667"/>
      <w:bookmarkStart w:id="845" w:name="_Toc234326542"/>
      <w:bookmarkStart w:id="846" w:name="_Toc234326274"/>
      <w:bookmarkStart w:id="847" w:name="_Toc218147343"/>
      <w:bookmarkStart w:id="848" w:name="_Toc218145800"/>
      <w:bookmarkStart w:id="849" w:name="_Toc128139609"/>
      <w:bookmarkStart w:id="850" w:name="_Toc128137835"/>
      <w:bookmarkStart w:id="851" w:name="_Toc131867894"/>
      <w:bookmarkStart w:id="852" w:name="_Toc237702912"/>
      <w:bookmarkStart w:id="853" w:name="_Toc128141187"/>
      <w:bookmarkStart w:id="854" w:name="_Toc215885552"/>
      <w:bookmarkStart w:id="855" w:name="_Toc234326810"/>
      <w:bookmarkStart w:id="856" w:name="_Toc130291565"/>
      <w:bookmarkStart w:id="857" w:name="_Toc31279"/>
      <w:bookmarkStart w:id="858" w:name="_Toc290373424"/>
      <w:bookmarkStart w:id="859" w:name="_Toc212873918"/>
      <w:bookmarkStart w:id="860" w:name="_Toc218141933"/>
      <w:bookmarkStart w:id="861" w:name="_Toc128122930"/>
      <w:bookmarkStart w:id="862" w:name="_Toc213477258"/>
      <w:bookmarkStart w:id="863" w:name="_Toc128141486"/>
      <w:bookmarkStart w:id="864" w:name="_Toc218143875"/>
      <w:bookmarkStart w:id="865" w:name="_Toc218144165"/>
      <w:bookmarkStart w:id="866" w:name="_Toc128140017"/>
      <w:bookmarkStart w:id="867" w:name="_Toc212869956"/>
      <w:bookmarkStart w:id="868" w:name="_Toc214704454"/>
      <w:bookmarkStart w:id="869" w:name="_Toc214703956"/>
      <w:r>
        <w:rPr>
          <w:sz w:val="21"/>
          <w:szCs w:val="21"/>
        </w:rPr>
        <w:t>进度控制</w:t>
      </w:r>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p>
    <w:p w14:paraId="072C0856">
      <w:pPr>
        <w:pStyle w:val="5"/>
        <w:rPr>
          <w:color w:val="auto"/>
          <w:szCs w:val="21"/>
        </w:rPr>
      </w:pPr>
      <w:r>
        <w:rPr>
          <w:color w:val="auto"/>
          <w:szCs w:val="21"/>
        </w:rPr>
        <w:t>投标人应对工程的进度进行检查和全过程控制，负责对项目执行过程中的各项任务进行动态管理。</w:t>
      </w:r>
    </w:p>
    <w:p w14:paraId="3C18150A">
      <w:pPr>
        <w:pStyle w:val="5"/>
        <w:rPr>
          <w:color w:val="auto"/>
          <w:szCs w:val="21"/>
        </w:rPr>
      </w:pPr>
      <w:r>
        <w:rPr>
          <w:color w:val="auto"/>
          <w:szCs w:val="21"/>
        </w:rPr>
        <w:t>投标人应采取各种控制手段保证项目的各个阶段按计划开始和结束。各阶段工作结束时，应结合工期、成本、质量评价项目进度状况，分析其中的问题，并提出下一阶段工作安排。</w:t>
      </w:r>
    </w:p>
    <w:p w14:paraId="3404D5AA">
      <w:pPr>
        <w:pStyle w:val="5"/>
        <w:rPr>
          <w:color w:val="auto"/>
          <w:szCs w:val="21"/>
        </w:rPr>
      </w:pPr>
      <w:r>
        <w:rPr>
          <w:color w:val="auto"/>
          <w:szCs w:val="21"/>
        </w:rPr>
        <w:t>在合同开始执行后投标人应每月一次，工程安装开始后应每周一次以及重大项目结束后都应用书面形式向招标人汇报计划的执行情况，以及计划的变更情况，并着重说明未能按计划开展或完成工作的原因，并采取措施制定完成计划。</w:t>
      </w:r>
    </w:p>
    <w:p w14:paraId="28F5F02D">
      <w:pPr>
        <w:pStyle w:val="5"/>
        <w:rPr>
          <w:color w:val="auto"/>
          <w:szCs w:val="21"/>
        </w:rPr>
      </w:pPr>
      <w:r>
        <w:rPr>
          <w:color w:val="auto"/>
          <w:szCs w:val="21"/>
        </w:rPr>
        <w:t>投标人应用图表的方式表达各阶段的进度情况。</w:t>
      </w:r>
    </w:p>
    <w:p w14:paraId="318BB16E">
      <w:pPr>
        <w:pStyle w:val="4"/>
        <w:rPr>
          <w:sz w:val="21"/>
          <w:szCs w:val="21"/>
        </w:rPr>
      </w:pPr>
      <w:bookmarkStart w:id="870" w:name="_Toc234326275"/>
      <w:bookmarkStart w:id="871" w:name="_Toc128139329"/>
      <w:bookmarkStart w:id="872" w:name="_Toc128139116"/>
      <w:bookmarkStart w:id="873" w:name="_Toc213407854"/>
      <w:bookmarkStart w:id="874" w:name="_Toc131867895"/>
      <w:bookmarkStart w:id="875" w:name="_Toc218145801"/>
      <w:bookmarkStart w:id="876" w:name="_Toc234326007"/>
      <w:bookmarkStart w:id="877" w:name="_Toc290373425"/>
      <w:bookmarkStart w:id="878" w:name="_Toc218141215"/>
      <w:bookmarkStart w:id="879" w:name="_Toc128140585"/>
      <w:bookmarkStart w:id="880" w:name="_Toc6064"/>
      <w:bookmarkStart w:id="881" w:name="_Toc259981540"/>
      <w:bookmarkStart w:id="882" w:name="_Toc214704455"/>
      <w:bookmarkStart w:id="883" w:name="_Toc214703957"/>
      <w:bookmarkStart w:id="884" w:name="_Toc237702913"/>
      <w:bookmarkStart w:id="885" w:name="_Toc128137836"/>
      <w:bookmarkStart w:id="886" w:name="_Toc128141487"/>
      <w:bookmarkStart w:id="887" w:name="_Toc128138714"/>
      <w:bookmarkStart w:id="888" w:name="_Toc212872599"/>
      <w:bookmarkStart w:id="889" w:name="_Toc26646"/>
      <w:bookmarkStart w:id="890" w:name="_Toc128139610"/>
      <w:bookmarkStart w:id="891" w:name="_Toc128141010"/>
      <w:bookmarkStart w:id="892" w:name="_Toc215889466"/>
      <w:bookmarkStart w:id="893" w:name="_Toc234326811"/>
      <w:bookmarkStart w:id="894" w:name="_Toc218144166"/>
      <w:bookmarkStart w:id="895" w:name="_Toc214704206"/>
      <w:bookmarkStart w:id="896" w:name="_Toc218144417"/>
      <w:bookmarkStart w:id="897" w:name="_Toc128122931"/>
      <w:bookmarkStart w:id="898" w:name="_Toc212873919"/>
      <w:bookmarkStart w:id="899" w:name="_Toc130291566"/>
      <w:bookmarkStart w:id="900" w:name="_Toc128138344"/>
      <w:bookmarkStart w:id="901" w:name="_Toc218142185"/>
      <w:bookmarkStart w:id="902" w:name="_Toc218145219"/>
      <w:bookmarkStart w:id="903" w:name="_Toc231185174"/>
      <w:bookmarkStart w:id="904" w:name="_Toc128138098"/>
      <w:bookmarkStart w:id="905" w:name="_Toc218144668"/>
      <w:bookmarkStart w:id="906" w:name="_Toc218141683"/>
      <w:bookmarkStart w:id="907" w:name="_Toc218141934"/>
      <w:bookmarkStart w:id="908" w:name="_Toc128223291"/>
      <w:bookmarkStart w:id="909" w:name="_Toc218143445"/>
      <w:bookmarkStart w:id="910" w:name="_Toc218144919"/>
      <w:bookmarkStart w:id="911" w:name="_Toc218147595"/>
      <w:bookmarkStart w:id="912" w:name="_Toc218147344"/>
      <w:bookmarkStart w:id="913" w:name="_Toc212869957"/>
      <w:bookmarkStart w:id="914" w:name="_Toc128140018"/>
      <w:bookmarkStart w:id="915" w:name="_Toc128141188"/>
      <w:bookmarkStart w:id="916" w:name="_Toc215885553"/>
      <w:bookmarkStart w:id="917" w:name="_Toc234326543"/>
      <w:bookmarkStart w:id="918" w:name="_Toc213477505"/>
      <w:bookmarkStart w:id="919" w:name="_Toc213477259"/>
      <w:bookmarkStart w:id="920" w:name="_Toc217105770"/>
      <w:bookmarkStart w:id="921" w:name="_Toc128120961"/>
      <w:bookmarkStart w:id="922" w:name="_Toc218143876"/>
      <w:r>
        <w:rPr>
          <w:sz w:val="21"/>
          <w:szCs w:val="21"/>
        </w:rPr>
        <w:t>文件管理</w:t>
      </w:r>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 w14:paraId="25C5278D">
      <w:pPr>
        <w:pStyle w:val="5"/>
        <w:rPr>
          <w:color w:val="auto"/>
          <w:szCs w:val="21"/>
        </w:rPr>
      </w:pPr>
      <w:r>
        <w:rPr>
          <w:color w:val="auto"/>
          <w:szCs w:val="21"/>
        </w:rPr>
        <w:t>文件管理要求</w:t>
      </w:r>
    </w:p>
    <w:p w14:paraId="3973571A">
      <w:pPr>
        <w:pStyle w:val="1221"/>
        <w:jc w:val="both"/>
        <w:rPr>
          <w:szCs w:val="21"/>
        </w:rPr>
      </w:pPr>
      <w:r>
        <w:rPr>
          <w:szCs w:val="21"/>
        </w:rPr>
        <w:t>投标人应根据</w:t>
      </w:r>
      <w:r>
        <w:rPr>
          <w:rFonts w:hint="eastAsia"/>
          <w:szCs w:val="21"/>
        </w:rPr>
        <w:t>招标人竣工档案编制的规定</w:t>
      </w:r>
      <w:r>
        <w:rPr>
          <w:szCs w:val="21"/>
        </w:rPr>
        <w:t>以及相关要求，建立图纸文件管理程序，在招标人批准后贯彻执行。该程序文件用来控制管理所有提供给招标人的文件。</w:t>
      </w:r>
    </w:p>
    <w:p w14:paraId="2A9BDA8D">
      <w:pPr>
        <w:pStyle w:val="1221"/>
        <w:jc w:val="both"/>
        <w:rPr>
          <w:szCs w:val="21"/>
        </w:rPr>
      </w:pPr>
      <w:r>
        <w:rPr>
          <w:szCs w:val="21"/>
        </w:rPr>
        <w:t>投标人提交给招标人的文件要在发送单上列出目录，文件形式可以为纸张文件和电子文件。</w:t>
      </w:r>
    </w:p>
    <w:p w14:paraId="70434A00">
      <w:pPr>
        <w:pStyle w:val="1221"/>
        <w:jc w:val="both"/>
        <w:rPr>
          <w:szCs w:val="21"/>
        </w:rPr>
      </w:pPr>
      <w:r>
        <w:rPr>
          <w:szCs w:val="21"/>
        </w:rPr>
        <w:t>除非另有规定，投标人更改文件应得到招标人认可，文件或相应的附件上应有更改的理由。</w:t>
      </w:r>
    </w:p>
    <w:p w14:paraId="655ABD58">
      <w:pPr>
        <w:pStyle w:val="5"/>
        <w:rPr>
          <w:color w:val="auto"/>
          <w:szCs w:val="21"/>
        </w:rPr>
      </w:pPr>
      <w:r>
        <w:rPr>
          <w:color w:val="auto"/>
          <w:szCs w:val="21"/>
        </w:rPr>
        <w:t>管理文件</w:t>
      </w:r>
    </w:p>
    <w:p w14:paraId="4CC4608C">
      <w:pPr>
        <w:pStyle w:val="1221"/>
        <w:jc w:val="both"/>
        <w:rPr>
          <w:szCs w:val="21"/>
        </w:rPr>
      </w:pPr>
      <w:r>
        <w:rPr>
          <w:szCs w:val="21"/>
        </w:rPr>
        <w:t>文件包括技术文件和管理文件。</w:t>
      </w:r>
    </w:p>
    <w:p w14:paraId="7990C8AA">
      <w:pPr>
        <w:pStyle w:val="1221"/>
        <w:jc w:val="both"/>
        <w:rPr>
          <w:szCs w:val="21"/>
        </w:rPr>
      </w:pPr>
      <w:r>
        <w:rPr>
          <w:szCs w:val="21"/>
        </w:rPr>
        <w:t>技术文件见本招标文件第</w:t>
      </w:r>
      <w:r>
        <w:rPr>
          <w:rFonts w:hint="eastAsia"/>
          <w:szCs w:val="21"/>
        </w:rPr>
        <w:t>12</w:t>
      </w:r>
      <w:r>
        <w:rPr>
          <w:szCs w:val="21"/>
        </w:rPr>
        <w:t>章“图纸、手册和技术文件”部分。</w:t>
      </w:r>
    </w:p>
    <w:p w14:paraId="1819814D">
      <w:pPr>
        <w:pStyle w:val="1221"/>
        <w:jc w:val="both"/>
        <w:rPr>
          <w:szCs w:val="21"/>
        </w:rPr>
      </w:pPr>
      <w:r>
        <w:rPr>
          <w:szCs w:val="21"/>
        </w:rPr>
        <w:t>管理文件包括但不限于：设备生产出厂检验、出厂检验计划、发货计划、开箱检验计划、现场培训计划、验收计划、质量体系保证文件等。</w:t>
      </w:r>
    </w:p>
    <w:p w14:paraId="1EE50548">
      <w:pPr>
        <w:pStyle w:val="5"/>
        <w:rPr>
          <w:color w:val="auto"/>
          <w:szCs w:val="21"/>
        </w:rPr>
      </w:pPr>
      <w:r>
        <w:rPr>
          <w:color w:val="auto"/>
          <w:szCs w:val="21"/>
        </w:rPr>
        <w:t>进度报告</w:t>
      </w:r>
    </w:p>
    <w:p w14:paraId="25DA9D0C">
      <w:pPr>
        <w:pStyle w:val="1221"/>
        <w:jc w:val="both"/>
        <w:rPr>
          <w:szCs w:val="21"/>
        </w:rPr>
      </w:pPr>
      <w:bookmarkStart w:id="923" w:name="_Toc291351846"/>
      <w:r>
        <w:rPr>
          <w:szCs w:val="21"/>
        </w:rPr>
        <w:t>投标人的进度报告须包含诸如工程进度、发生的问题、存在的不利因素、潜在延误及补救方法的建议等内容。对于紧急情况，投标人随时向招标人通报。</w:t>
      </w:r>
      <w:bookmarkEnd w:id="923"/>
    </w:p>
    <w:p w14:paraId="28A6DADC">
      <w:pPr>
        <w:pStyle w:val="5"/>
        <w:rPr>
          <w:color w:val="auto"/>
          <w:szCs w:val="21"/>
        </w:rPr>
      </w:pPr>
      <w:r>
        <w:rPr>
          <w:color w:val="auto"/>
          <w:szCs w:val="21"/>
        </w:rPr>
        <w:t>文件确认</w:t>
      </w:r>
    </w:p>
    <w:p w14:paraId="1C4219DE">
      <w:pPr>
        <w:pStyle w:val="1221"/>
        <w:jc w:val="both"/>
        <w:rPr>
          <w:szCs w:val="21"/>
        </w:rPr>
      </w:pPr>
      <w:r>
        <w:rPr>
          <w:szCs w:val="21"/>
        </w:rPr>
        <w:t>招标人对投标人文件的确认，在任何情况下都不能减除投标人在合同项下的任何责任和义务。</w:t>
      </w:r>
    </w:p>
    <w:p w14:paraId="4C7859CD">
      <w:pPr>
        <w:pStyle w:val="1221"/>
        <w:jc w:val="both"/>
        <w:rPr>
          <w:szCs w:val="21"/>
        </w:rPr>
      </w:pPr>
      <w:r>
        <w:rPr>
          <w:rFonts w:hint="eastAsia"/>
          <w:szCs w:val="21"/>
        </w:rPr>
        <w:t>投标人向招标人提交的文件应在发送单上列出目录，文件形式可以为印刷文件和电子文件，仅有纸质文件可以作为最终生效的文件。</w:t>
      </w:r>
    </w:p>
    <w:p w14:paraId="73BE2FD9">
      <w:pPr>
        <w:pStyle w:val="1221"/>
        <w:jc w:val="both"/>
        <w:rPr>
          <w:szCs w:val="21"/>
        </w:rPr>
      </w:pPr>
      <w:r>
        <w:rPr>
          <w:rFonts w:hint="eastAsia"/>
          <w:szCs w:val="21"/>
        </w:rPr>
        <w:t>无论招标人对投标人的文件是否提出意见，都应在印刷文件接收之日起4周内，招标人均应回复投标人，超过期限将被投标人视为招标人已经确认。</w:t>
      </w:r>
    </w:p>
    <w:p w14:paraId="3697FC28">
      <w:pPr>
        <w:pStyle w:val="1221"/>
        <w:jc w:val="both"/>
        <w:rPr>
          <w:szCs w:val="21"/>
        </w:rPr>
      </w:pPr>
      <w:r>
        <w:rPr>
          <w:rFonts w:hint="eastAsia"/>
          <w:szCs w:val="21"/>
        </w:rPr>
        <w:t>需要招标人确认的文件必须以工作联系单的形式提报招标人，招标人将以工作联系单的形式给予回复。当招标人认为文件需要修改和完善时，招标人将在工作联系单中提出修改意见，或注意事项，投标人必须将修改后的文件重新报招标人确认。</w:t>
      </w:r>
    </w:p>
    <w:p w14:paraId="720E69B3">
      <w:pPr>
        <w:pStyle w:val="1221"/>
        <w:jc w:val="both"/>
        <w:rPr>
          <w:szCs w:val="21"/>
        </w:rPr>
      </w:pPr>
      <w:r>
        <w:rPr>
          <w:szCs w:val="21"/>
        </w:rPr>
        <w:t>投标人的文件必</w:t>
      </w:r>
      <w:r>
        <w:rPr>
          <w:rFonts w:hint="eastAsia"/>
          <w:szCs w:val="21"/>
        </w:rPr>
        <w:t>须得到</w:t>
      </w:r>
      <w:r>
        <w:rPr>
          <w:szCs w:val="21"/>
        </w:rPr>
        <w:t>招标人的</w:t>
      </w:r>
      <w:r>
        <w:rPr>
          <w:rFonts w:hint="eastAsia"/>
          <w:szCs w:val="21"/>
        </w:rPr>
        <w:t>书面</w:t>
      </w:r>
      <w:r>
        <w:rPr>
          <w:szCs w:val="21"/>
        </w:rPr>
        <w:t>确认</w:t>
      </w:r>
      <w:r>
        <w:rPr>
          <w:rFonts w:hint="eastAsia"/>
          <w:szCs w:val="21"/>
        </w:rPr>
        <w:t>后</w:t>
      </w:r>
      <w:r>
        <w:rPr>
          <w:szCs w:val="21"/>
        </w:rPr>
        <w:t>，投标人才能进行实质性的工作。</w:t>
      </w:r>
      <w:r>
        <w:rPr>
          <w:rFonts w:hint="eastAsia"/>
          <w:szCs w:val="21"/>
        </w:rPr>
        <w:t>由于投标人计划不周而引起的一切后果均由投标人承担。</w:t>
      </w:r>
    </w:p>
    <w:p w14:paraId="1BC0CB02">
      <w:pPr>
        <w:pStyle w:val="1221"/>
        <w:jc w:val="both"/>
        <w:rPr>
          <w:szCs w:val="21"/>
        </w:rPr>
      </w:pPr>
      <w:r>
        <w:rPr>
          <w:szCs w:val="21"/>
        </w:rPr>
        <w:t>工厂设备生产出厂检验及出厂检验计划、发货计划、开箱检验计划、</w:t>
      </w:r>
      <w:r>
        <w:rPr>
          <w:rFonts w:hint="eastAsia"/>
          <w:szCs w:val="21"/>
          <w:lang w:eastAsia="zh-CN"/>
        </w:rPr>
        <w:t>部署</w:t>
      </w:r>
      <w:r>
        <w:rPr>
          <w:szCs w:val="21"/>
        </w:rPr>
        <w:t>计划、现场培训计划、验收计划等管理文件均应在合同的各个阶段开展实质性工作前</w:t>
      </w:r>
      <w:r>
        <w:rPr>
          <w:rFonts w:hint="eastAsia"/>
          <w:szCs w:val="21"/>
        </w:rPr>
        <w:t>，根据招标人的要求提交相关文件</w:t>
      </w:r>
      <w:r>
        <w:rPr>
          <w:szCs w:val="21"/>
        </w:rPr>
        <w:t>交招标人确认。在合同生效后</w:t>
      </w:r>
      <w:r>
        <w:rPr>
          <w:rFonts w:hint="eastAsia"/>
          <w:szCs w:val="21"/>
        </w:rPr>
        <w:t>，投标人按招标人的要求</w:t>
      </w:r>
      <w:r>
        <w:rPr>
          <w:szCs w:val="21"/>
        </w:rPr>
        <w:t>提交进度控制计划</w:t>
      </w:r>
      <w:r>
        <w:rPr>
          <w:rFonts w:hint="eastAsia"/>
          <w:szCs w:val="21"/>
        </w:rPr>
        <w:t>、</w:t>
      </w:r>
      <w:r>
        <w:rPr>
          <w:szCs w:val="21"/>
        </w:rPr>
        <w:t>质量体系程序文件</w:t>
      </w:r>
      <w:r>
        <w:rPr>
          <w:rFonts w:hint="eastAsia"/>
          <w:szCs w:val="21"/>
        </w:rPr>
        <w:t>。</w:t>
      </w:r>
      <w:r>
        <w:rPr>
          <w:szCs w:val="21"/>
        </w:rPr>
        <w:t>在合同执行过程中</w:t>
      </w:r>
      <w:r>
        <w:rPr>
          <w:rFonts w:hint="eastAsia"/>
          <w:szCs w:val="21"/>
        </w:rPr>
        <w:t>，投标人根据招标人的要求提交</w:t>
      </w:r>
      <w:r>
        <w:rPr>
          <w:szCs w:val="21"/>
        </w:rPr>
        <w:t>月、周进度报告。</w:t>
      </w:r>
    </w:p>
    <w:p w14:paraId="2739F828">
      <w:pPr>
        <w:spacing w:line="360" w:lineRule="exact"/>
        <w:rPr>
          <w:sz w:val="21"/>
          <w:szCs w:val="21"/>
        </w:rPr>
        <w:sectPr>
          <w:pgSz w:w="11906" w:h="16838"/>
          <w:pgMar w:top="1418" w:right="1418" w:bottom="1418" w:left="1418" w:header="851" w:footer="851" w:gutter="0"/>
          <w:cols w:space="720" w:num="1"/>
          <w:docGrid w:linePitch="312" w:charSpace="0"/>
        </w:sectPr>
      </w:pPr>
    </w:p>
    <w:p w14:paraId="70848F78">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924" w:name="_Toc213477506"/>
      <w:bookmarkStart w:id="925" w:name="_Toc218143877"/>
      <w:bookmarkStart w:id="926" w:name="_Toc131867897"/>
      <w:bookmarkStart w:id="927" w:name="_Toc214704207"/>
      <w:bookmarkStart w:id="928" w:name="_Toc212875112"/>
      <w:bookmarkStart w:id="929" w:name="_Toc128223293"/>
      <w:bookmarkStart w:id="930" w:name="_Toc128139331"/>
      <w:bookmarkStart w:id="931" w:name="_Toc213406567"/>
      <w:bookmarkStart w:id="932" w:name="_Toc234326812"/>
      <w:bookmarkStart w:id="933" w:name="_Toc234326276"/>
      <w:bookmarkStart w:id="934" w:name="_Toc128141012"/>
      <w:bookmarkStart w:id="935" w:name="_Toc212873920"/>
      <w:bookmarkStart w:id="936" w:name="_Toc218145220"/>
      <w:bookmarkStart w:id="937" w:name="_Toc222816879"/>
      <w:bookmarkStart w:id="938" w:name="_Toc128138716"/>
      <w:bookmarkStart w:id="939" w:name="_Toc218144920"/>
      <w:bookmarkStart w:id="940" w:name="_Toc218144167"/>
      <w:bookmarkStart w:id="941" w:name="_Toc218144669"/>
      <w:bookmarkStart w:id="942" w:name="_Toc128120963"/>
      <w:bookmarkStart w:id="943" w:name="_Toc218142186"/>
      <w:bookmarkStart w:id="944" w:name="_Toc128138100"/>
      <w:bookmarkStart w:id="945" w:name="_Toc212872600"/>
      <w:bookmarkStart w:id="946" w:name="_Toc214703958"/>
      <w:bookmarkStart w:id="947" w:name="_Toc218147596"/>
      <w:bookmarkStart w:id="948" w:name="_Toc231185175"/>
      <w:bookmarkStart w:id="949" w:name="_Toc234326544"/>
      <w:bookmarkStart w:id="950" w:name="_Toc213407855"/>
      <w:bookmarkStart w:id="951" w:name="_Toc128139612"/>
      <w:bookmarkStart w:id="952" w:name="_Toc128139118"/>
      <w:bookmarkStart w:id="953" w:name="_Toc218141684"/>
      <w:bookmarkStart w:id="954" w:name="_Toc215889467"/>
      <w:bookmarkStart w:id="955" w:name="_Toc128122933"/>
      <w:bookmarkStart w:id="956" w:name="_Toc237702914"/>
      <w:bookmarkStart w:id="957" w:name="_Toc128137838"/>
      <w:bookmarkStart w:id="958" w:name="_Toc128138346"/>
      <w:bookmarkStart w:id="959" w:name="_Toc212869958"/>
      <w:bookmarkStart w:id="960" w:name="_Toc218141935"/>
      <w:bookmarkStart w:id="961" w:name="_Toc214704456"/>
      <w:bookmarkStart w:id="962" w:name="_Toc213477260"/>
      <w:bookmarkStart w:id="963" w:name="_Toc218144418"/>
      <w:bookmarkStart w:id="964" w:name="_Toc234326008"/>
      <w:bookmarkStart w:id="965" w:name="_Toc215885554"/>
      <w:bookmarkStart w:id="966" w:name="_Toc217105771"/>
      <w:bookmarkStart w:id="967" w:name="_Toc218145802"/>
      <w:bookmarkStart w:id="968" w:name="_Toc218147345"/>
      <w:bookmarkStart w:id="969" w:name="_Toc128141190"/>
      <w:bookmarkStart w:id="970" w:name="_Toc128137422"/>
      <w:bookmarkStart w:id="971" w:name="_Toc130291568"/>
      <w:bookmarkStart w:id="972" w:name="_Toc218141216"/>
      <w:bookmarkStart w:id="973" w:name="_Toc128140020"/>
      <w:bookmarkStart w:id="974" w:name="_Toc128141489"/>
      <w:bookmarkStart w:id="975" w:name="_Toc218143446"/>
      <w:bookmarkStart w:id="976" w:name="_Toc128140587"/>
      <w:r>
        <w:rPr>
          <w:rFonts w:hint="eastAsia" w:ascii="Times New Roman" w:hAnsi="Times New Roman" w:eastAsia="宋体"/>
          <w:b/>
          <w:bCs/>
          <w:sz w:val="21"/>
          <w:szCs w:val="21"/>
          <w:lang w:eastAsia="zh-CN"/>
        </w:rPr>
        <w:t>技术联络</w:t>
      </w:r>
    </w:p>
    <w:p w14:paraId="65C5230B">
      <w:pPr>
        <w:pStyle w:val="4"/>
        <w:rPr>
          <w:sz w:val="21"/>
          <w:szCs w:val="21"/>
        </w:rPr>
      </w:pPr>
      <w:bookmarkStart w:id="977" w:name="_Toc218143935"/>
      <w:bookmarkStart w:id="978" w:name="_Toc218144225"/>
      <w:bookmarkStart w:id="979" w:name="_Toc128137470"/>
      <w:bookmarkStart w:id="980" w:name="_Toc218145278"/>
      <w:bookmarkStart w:id="981" w:name="_Toc128138394"/>
      <w:bookmarkStart w:id="982" w:name="_Toc128138765"/>
      <w:bookmarkStart w:id="983" w:name="_Toc128138148"/>
      <w:bookmarkStart w:id="984" w:name="_Toc213407912"/>
      <w:bookmarkStart w:id="985" w:name="_Toc128121011"/>
      <w:bookmarkStart w:id="986" w:name="_Toc23221"/>
      <w:bookmarkStart w:id="987" w:name="_Toc218141742"/>
      <w:bookmarkStart w:id="988" w:name="_Toc212870015"/>
      <w:bookmarkStart w:id="989" w:name="_Toc237702972"/>
      <w:bookmarkStart w:id="990" w:name="_Toc213477563"/>
      <w:bookmarkStart w:id="991" w:name="_Toc128139176"/>
      <w:bookmarkStart w:id="992" w:name="_Toc214704265"/>
      <w:bookmarkStart w:id="993" w:name="_Toc234326066"/>
      <w:bookmarkStart w:id="994" w:name="_Toc128137886"/>
      <w:bookmarkStart w:id="995" w:name="_Toc212873977"/>
      <w:bookmarkStart w:id="996" w:name="_Toc234326870"/>
      <w:bookmarkStart w:id="997" w:name="_Toc131867955"/>
      <w:bookmarkStart w:id="998" w:name="_Toc259981599"/>
      <w:bookmarkStart w:id="999" w:name="_Toc130291626"/>
      <w:bookmarkStart w:id="1000" w:name="_Toc128141547"/>
      <w:bookmarkStart w:id="1001" w:name="_Toc215885612"/>
      <w:bookmarkStart w:id="1002" w:name="_Toc212875169"/>
      <w:bookmarkStart w:id="1003" w:name="_Toc128141248"/>
      <w:bookmarkStart w:id="1004" w:name="_Toc212872657"/>
      <w:bookmarkStart w:id="1005" w:name="_Toc218144978"/>
      <w:bookmarkStart w:id="1006" w:name="_Toc218144727"/>
      <w:bookmarkStart w:id="1007" w:name="_Toc290373428"/>
      <w:bookmarkStart w:id="1008" w:name="_Toc218141993"/>
      <w:bookmarkStart w:id="1009" w:name="_Toc231185231"/>
      <w:bookmarkStart w:id="1010" w:name="_Toc217105829"/>
      <w:bookmarkStart w:id="1011" w:name="_Toc128140645"/>
      <w:bookmarkStart w:id="1012" w:name="_Toc218141274"/>
      <w:bookmarkStart w:id="1013" w:name="_Toc128122981"/>
      <w:bookmarkStart w:id="1014" w:name="_Toc128141070"/>
      <w:bookmarkStart w:id="1015" w:name="_Toc214704514"/>
      <w:bookmarkStart w:id="1016" w:name="_Toc234326334"/>
      <w:bookmarkStart w:id="1017" w:name="_Toc218145860"/>
      <w:bookmarkStart w:id="1018" w:name="_Toc234326602"/>
      <w:bookmarkStart w:id="1019" w:name="_Toc215889525"/>
      <w:bookmarkStart w:id="1020" w:name="_Toc218147403"/>
      <w:bookmarkStart w:id="1021" w:name="_Toc213477317"/>
      <w:bookmarkStart w:id="1022" w:name="_Toc214704016"/>
      <w:bookmarkStart w:id="1023" w:name="_Toc128223351"/>
      <w:bookmarkStart w:id="1024" w:name="_Toc128139389"/>
      <w:bookmarkStart w:id="1025" w:name="_Toc128139670"/>
      <w:bookmarkStart w:id="1026" w:name="_Toc218144476"/>
      <w:bookmarkStart w:id="1027" w:name="_Toc218142244"/>
      <w:bookmarkStart w:id="1028" w:name="_Toc218143504"/>
      <w:bookmarkStart w:id="1029" w:name="_Toc218147654"/>
      <w:r>
        <w:rPr>
          <w:sz w:val="21"/>
          <w:szCs w:val="21"/>
        </w:rPr>
        <w:t>要求</w:t>
      </w:r>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p>
    <w:p w14:paraId="1096386A">
      <w:pPr>
        <w:pStyle w:val="5"/>
        <w:rPr>
          <w:color w:val="auto"/>
          <w:szCs w:val="21"/>
        </w:rPr>
      </w:pPr>
      <w:bookmarkStart w:id="1030" w:name="_Toc128141249"/>
      <w:bookmarkStart w:id="1031" w:name="_Toc128137887"/>
      <w:bookmarkStart w:id="1032" w:name="_Toc128139390"/>
      <w:bookmarkStart w:id="1033" w:name="_Toc128140646"/>
      <w:bookmarkStart w:id="1034" w:name="_Toc214704266"/>
      <w:bookmarkStart w:id="1035" w:name="_Toc218145279"/>
      <w:bookmarkStart w:id="1036" w:name="_Toc128223352"/>
      <w:bookmarkStart w:id="1037" w:name="_Toc128138766"/>
      <w:bookmarkStart w:id="1038" w:name="_Toc234326603"/>
      <w:bookmarkStart w:id="1039" w:name="_Toc128121012"/>
      <w:bookmarkStart w:id="1040" w:name="_Toc213477318"/>
      <w:bookmarkStart w:id="1041" w:name="_Toc128138395"/>
      <w:bookmarkStart w:id="1042" w:name="_Toc218144728"/>
      <w:bookmarkStart w:id="1043" w:name="_Toc218147655"/>
      <w:bookmarkStart w:id="1044" w:name="_Toc128122982"/>
      <w:bookmarkStart w:id="1045" w:name="_Toc218141275"/>
      <w:bookmarkStart w:id="1046" w:name="_Toc213477564"/>
      <w:bookmarkStart w:id="1047" w:name="_Toc128138149"/>
      <w:bookmarkStart w:id="1048" w:name="_Toc215885613"/>
      <w:bookmarkStart w:id="1049" w:name="_Toc214704515"/>
      <w:bookmarkStart w:id="1050" w:name="_Toc231185232"/>
      <w:bookmarkStart w:id="1051" w:name="_Toc290373429"/>
      <w:bookmarkStart w:id="1052" w:name="_Toc218141994"/>
      <w:bookmarkStart w:id="1053" w:name="_Toc218142245"/>
      <w:bookmarkStart w:id="1054" w:name="_Toc128139177"/>
      <w:bookmarkStart w:id="1055" w:name="_Toc212872658"/>
      <w:bookmarkStart w:id="1056" w:name="_Toc130291627"/>
      <w:bookmarkStart w:id="1057" w:name="_Toc218143505"/>
      <w:bookmarkStart w:id="1058" w:name="_Toc128141071"/>
      <w:bookmarkStart w:id="1059" w:name="_Toc212875170"/>
      <w:bookmarkStart w:id="1060" w:name="_Toc218144477"/>
      <w:bookmarkStart w:id="1061" w:name="_Toc237702973"/>
      <w:bookmarkStart w:id="1062" w:name="_Toc214704017"/>
      <w:bookmarkStart w:id="1063" w:name="_Toc213407913"/>
      <w:bookmarkStart w:id="1064" w:name="_Toc218143936"/>
      <w:bookmarkStart w:id="1065" w:name="_Toc212873978"/>
      <w:bookmarkStart w:id="1066" w:name="_Toc218147404"/>
      <w:bookmarkStart w:id="1067" w:name="_Toc218145861"/>
      <w:bookmarkStart w:id="1068" w:name="_Toc212870016"/>
      <w:bookmarkStart w:id="1069" w:name="_Toc234326067"/>
      <w:bookmarkStart w:id="1070" w:name="_Toc218144226"/>
      <w:bookmarkStart w:id="1071" w:name="_Toc234326871"/>
      <w:bookmarkStart w:id="1072" w:name="_Toc131867956"/>
      <w:bookmarkStart w:id="1073" w:name="_Toc218144979"/>
      <w:bookmarkStart w:id="1074" w:name="_Toc128141548"/>
      <w:bookmarkStart w:id="1075" w:name="_Toc259981600"/>
      <w:bookmarkStart w:id="1076" w:name="_Toc218141743"/>
      <w:bookmarkStart w:id="1077" w:name="_Toc128139671"/>
      <w:bookmarkStart w:id="1078" w:name="_Toc215889526"/>
      <w:bookmarkStart w:id="1079" w:name="_Toc234326335"/>
      <w:bookmarkStart w:id="1080" w:name="_Toc128137471"/>
      <w:bookmarkStart w:id="1081" w:name="_Toc217105830"/>
      <w:r>
        <w:rPr>
          <w:rFonts w:hint="eastAsia"/>
          <w:color w:val="auto"/>
          <w:szCs w:val="21"/>
          <w:lang w:eastAsia="zh-CN"/>
        </w:rPr>
        <w:t>规划</w:t>
      </w:r>
      <w:r>
        <w:rPr>
          <w:rFonts w:hint="eastAsia"/>
          <w:color w:val="auto"/>
          <w:szCs w:val="21"/>
        </w:rPr>
        <w:t>联络的目的是为了本项目参与各方交流</w:t>
      </w:r>
      <w:r>
        <w:rPr>
          <w:rFonts w:hint="eastAsia"/>
          <w:color w:val="auto"/>
          <w:szCs w:val="21"/>
          <w:lang w:eastAsia="zh-CN"/>
        </w:rPr>
        <w:t>规划</w:t>
      </w:r>
      <w:r>
        <w:rPr>
          <w:rFonts w:hint="eastAsia"/>
          <w:color w:val="auto"/>
          <w:szCs w:val="21"/>
        </w:rPr>
        <w:t>思想，澄清技术问题。招标人与其他设备标段供货商互提基础资料，确认系统功能和技术参数、技术方案、接口方案和各种计划，审核设备检测和出厂检验标准以及设备数量。招标人不承担任何技术责任</w:t>
      </w:r>
      <w:r>
        <w:rPr>
          <w:color w:val="auto"/>
          <w:szCs w:val="21"/>
        </w:rPr>
        <w:t>。</w:t>
      </w:r>
    </w:p>
    <w:p w14:paraId="58F1F303">
      <w:pPr>
        <w:pStyle w:val="5"/>
        <w:rPr>
          <w:color w:val="auto"/>
          <w:szCs w:val="21"/>
        </w:rPr>
      </w:pPr>
      <w:r>
        <w:rPr>
          <w:color w:val="auto"/>
          <w:szCs w:val="21"/>
        </w:rPr>
        <w:t>根据工程建设和进度的需要，投标人有责任</w:t>
      </w:r>
      <w:r>
        <w:rPr>
          <w:rFonts w:hint="eastAsia"/>
          <w:color w:val="auto"/>
          <w:szCs w:val="21"/>
        </w:rPr>
        <w:t>根据</w:t>
      </w:r>
      <w:r>
        <w:rPr>
          <w:color w:val="auto"/>
          <w:szCs w:val="21"/>
        </w:rPr>
        <w:t>制定</w:t>
      </w:r>
      <w:r>
        <w:rPr>
          <w:rFonts w:hint="eastAsia"/>
          <w:color w:val="auto"/>
          <w:szCs w:val="21"/>
        </w:rPr>
        <w:t>的</w:t>
      </w:r>
      <w:r>
        <w:rPr>
          <w:rFonts w:hint="eastAsia"/>
          <w:color w:val="auto"/>
          <w:szCs w:val="21"/>
          <w:lang w:eastAsia="zh-CN"/>
        </w:rPr>
        <w:t>规划</w:t>
      </w:r>
      <w:r>
        <w:rPr>
          <w:color w:val="auto"/>
          <w:szCs w:val="21"/>
        </w:rPr>
        <w:t>联络计划</w:t>
      </w:r>
      <w:r>
        <w:rPr>
          <w:rFonts w:hint="eastAsia"/>
          <w:color w:val="auto"/>
          <w:szCs w:val="21"/>
        </w:rPr>
        <w:t>，</w:t>
      </w:r>
      <w:r>
        <w:rPr>
          <w:color w:val="auto"/>
          <w:szCs w:val="21"/>
        </w:rPr>
        <w:t>做好</w:t>
      </w:r>
      <w:r>
        <w:rPr>
          <w:rFonts w:hint="eastAsia"/>
          <w:color w:val="auto"/>
          <w:szCs w:val="21"/>
          <w:lang w:eastAsia="zh-CN"/>
        </w:rPr>
        <w:t>规划</w:t>
      </w:r>
      <w:r>
        <w:rPr>
          <w:color w:val="auto"/>
          <w:szCs w:val="21"/>
        </w:rPr>
        <w:t>联络的准备工作</w:t>
      </w:r>
      <w:r>
        <w:rPr>
          <w:rFonts w:hint="eastAsia"/>
          <w:color w:val="auto"/>
          <w:szCs w:val="21"/>
        </w:rPr>
        <w:t>，</w:t>
      </w:r>
      <w:r>
        <w:rPr>
          <w:color w:val="auto"/>
          <w:szCs w:val="21"/>
        </w:rPr>
        <w:t>并参加</w:t>
      </w:r>
      <w:r>
        <w:rPr>
          <w:rFonts w:hint="eastAsia"/>
          <w:color w:val="auto"/>
          <w:szCs w:val="21"/>
          <w:lang w:eastAsia="zh-CN"/>
        </w:rPr>
        <w:t>规划</w:t>
      </w:r>
      <w:r>
        <w:rPr>
          <w:color w:val="auto"/>
          <w:szCs w:val="21"/>
        </w:rPr>
        <w:t>联络。</w:t>
      </w:r>
    </w:p>
    <w:p w14:paraId="5FB4ADFA">
      <w:pPr>
        <w:pStyle w:val="5"/>
        <w:rPr>
          <w:color w:val="auto"/>
          <w:szCs w:val="21"/>
        </w:rPr>
      </w:pPr>
      <w:r>
        <w:rPr>
          <w:rFonts w:hint="eastAsia"/>
          <w:color w:val="auto"/>
          <w:szCs w:val="21"/>
        </w:rPr>
        <w:t>投标人</w:t>
      </w:r>
      <w:r>
        <w:rPr>
          <w:color w:val="auto"/>
          <w:szCs w:val="21"/>
        </w:rPr>
        <w:t>应招标人的要求前往招标人指定地点出席各种与工程有关的会议，费用自理。</w:t>
      </w:r>
    </w:p>
    <w:p w14:paraId="613CAD3A">
      <w:pPr>
        <w:pStyle w:val="5"/>
        <w:rPr>
          <w:color w:val="auto"/>
          <w:szCs w:val="21"/>
        </w:rPr>
      </w:pPr>
      <w:r>
        <w:rPr>
          <w:rFonts w:hint="eastAsia"/>
          <w:color w:val="auto"/>
          <w:szCs w:val="21"/>
          <w:lang w:eastAsia="zh-CN"/>
        </w:rPr>
        <w:t>项目规划</w:t>
      </w:r>
      <w:r>
        <w:rPr>
          <w:color w:val="auto"/>
          <w:szCs w:val="21"/>
        </w:rPr>
        <w:t>联络期间，投标人应根据参会人数向招标人提供有关系统</w:t>
      </w:r>
      <w:r>
        <w:rPr>
          <w:rFonts w:hint="eastAsia"/>
          <w:color w:val="auto"/>
          <w:szCs w:val="21"/>
          <w:lang w:eastAsia="zh-CN"/>
        </w:rPr>
        <w:t>规划</w:t>
      </w:r>
      <w:r>
        <w:rPr>
          <w:color w:val="auto"/>
          <w:szCs w:val="21"/>
        </w:rPr>
        <w:t>方案文件。双方对提出的功能规格书及图纸文件做认真讨论研究，取得一致意见后，双方签字，投标人</w:t>
      </w:r>
      <w:r>
        <w:rPr>
          <w:rFonts w:hint="eastAsia"/>
          <w:color w:val="auto"/>
          <w:szCs w:val="21"/>
        </w:rPr>
        <w:t>即</w:t>
      </w:r>
      <w:r>
        <w:rPr>
          <w:color w:val="auto"/>
          <w:szCs w:val="21"/>
        </w:rPr>
        <w:t>可开展进一步的工作。</w:t>
      </w:r>
    </w:p>
    <w:p w14:paraId="49175051">
      <w:pPr>
        <w:pStyle w:val="5"/>
        <w:rPr>
          <w:color w:val="auto"/>
          <w:szCs w:val="21"/>
        </w:rPr>
      </w:pPr>
      <w:r>
        <w:rPr>
          <w:rFonts w:hint="eastAsia"/>
          <w:color w:val="auto"/>
          <w:szCs w:val="21"/>
        </w:rPr>
        <w:t>如果投标人在工作中发现</w:t>
      </w:r>
      <w:r>
        <w:rPr>
          <w:rFonts w:hint="eastAsia"/>
          <w:color w:val="auto"/>
          <w:szCs w:val="21"/>
          <w:lang w:eastAsia="zh-CN"/>
        </w:rPr>
        <w:t>部署</w:t>
      </w:r>
      <w:r>
        <w:rPr>
          <w:rFonts w:hint="eastAsia"/>
          <w:color w:val="auto"/>
          <w:szCs w:val="21"/>
        </w:rPr>
        <w:t>方案需要改动，投标人与招标人应进行认真讨论洽商。招标人有权要求投标人按照有关规定及管理办法进行审查，通过后可作为合同的补充部分与合同文本等效</w:t>
      </w:r>
      <w:r>
        <w:rPr>
          <w:color w:val="auto"/>
          <w:szCs w:val="21"/>
        </w:rPr>
        <w:t>。</w:t>
      </w:r>
    </w:p>
    <w:p w14:paraId="19A5C2A5">
      <w:pPr>
        <w:pStyle w:val="5"/>
        <w:rPr>
          <w:color w:val="auto"/>
          <w:szCs w:val="21"/>
        </w:rPr>
      </w:pPr>
      <w:r>
        <w:rPr>
          <w:color w:val="auto"/>
          <w:szCs w:val="21"/>
        </w:rPr>
        <w:t>投标人参加的技术人员必须是在合同项下的设备方面有多年工作经验的工程师。所有参加联络会议的技术人员必须精通技术工作，身体健康。</w:t>
      </w:r>
    </w:p>
    <w:p w14:paraId="29A3EF59">
      <w:pPr>
        <w:pStyle w:val="5"/>
        <w:rPr>
          <w:color w:val="auto"/>
          <w:szCs w:val="21"/>
        </w:rPr>
      </w:pPr>
      <w:r>
        <w:rPr>
          <w:color w:val="auto"/>
          <w:szCs w:val="21"/>
        </w:rPr>
        <w:t>投标人有责任答复招标人提出的合同范围内的技术问题，并有责任向招标人提供有关资料。</w:t>
      </w:r>
    </w:p>
    <w:p w14:paraId="0A70E6D0">
      <w:pPr>
        <w:pStyle w:val="5"/>
        <w:rPr>
          <w:color w:val="auto"/>
          <w:szCs w:val="21"/>
        </w:rPr>
      </w:pPr>
      <w:r>
        <w:rPr>
          <w:color w:val="auto"/>
          <w:szCs w:val="21"/>
        </w:rPr>
        <w:t>招标人参加讨论并确认系统功能规格、系统</w:t>
      </w:r>
      <w:r>
        <w:rPr>
          <w:rFonts w:hint="eastAsia"/>
          <w:color w:val="auto"/>
          <w:szCs w:val="21"/>
          <w:lang w:eastAsia="zh-CN"/>
        </w:rPr>
        <w:t>规划</w:t>
      </w:r>
      <w:r>
        <w:rPr>
          <w:color w:val="auto"/>
          <w:szCs w:val="21"/>
        </w:rPr>
        <w:t>、接口设计、系统标准、测试检验规范书等，但并不减轻投标人对合同项目所负的责任。</w:t>
      </w:r>
    </w:p>
    <w:p w14:paraId="34A9244D">
      <w:pPr>
        <w:pStyle w:val="5"/>
        <w:rPr>
          <w:color w:val="auto"/>
          <w:szCs w:val="21"/>
        </w:rPr>
      </w:pPr>
      <w:r>
        <w:rPr>
          <w:color w:val="auto"/>
          <w:szCs w:val="21"/>
        </w:rPr>
        <w:t>投标人</w:t>
      </w:r>
      <w:r>
        <w:rPr>
          <w:rFonts w:hint="eastAsia"/>
          <w:color w:val="auto"/>
          <w:szCs w:val="21"/>
          <w:lang w:eastAsia="zh-CN"/>
        </w:rPr>
        <w:t>项目</w:t>
      </w:r>
      <w:r>
        <w:rPr>
          <w:color w:val="auto"/>
          <w:szCs w:val="21"/>
        </w:rPr>
        <w:t>文件</w:t>
      </w:r>
      <w:r>
        <w:rPr>
          <w:rFonts w:hint="eastAsia"/>
          <w:color w:val="auto"/>
          <w:szCs w:val="21"/>
        </w:rPr>
        <w:t>以</w:t>
      </w:r>
      <w:r>
        <w:rPr>
          <w:color w:val="auto"/>
          <w:szCs w:val="21"/>
        </w:rPr>
        <w:t>中文文件</w:t>
      </w:r>
      <w:r>
        <w:rPr>
          <w:rFonts w:hint="eastAsia"/>
          <w:color w:val="auto"/>
          <w:szCs w:val="21"/>
        </w:rPr>
        <w:t>的内容为准</w:t>
      </w:r>
      <w:r>
        <w:rPr>
          <w:color w:val="auto"/>
          <w:szCs w:val="21"/>
        </w:rPr>
        <w:t>。</w:t>
      </w:r>
    </w:p>
    <w:p w14:paraId="7DA706BD">
      <w:pPr>
        <w:pStyle w:val="5"/>
        <w:rPr>
          <w:color w:val="auto"/>
          <w:szCs w:val="21"/>
        </w:rPr>
      </w:pPr>
      <w:r>
        <w:rPr>
          <w:color w:val="auto"/>
          <w:szCs w:val="21"/>
        </w:rPr>
        <w:t>投标人在投标文件中应给出</w:t>
      </w:r>
      <w:r>
        <w:rPr>
          <w:rFonts w:hint="eastAsia"/>
          <w:color w:val="auto"/>
          <w:szCs w:val="21"/>
          <w:lang w:eastAsia="zh-CN"/>
        </w:rPr>
        <w:t>项目</w:t>
      </w:r>
      <w:r>
        <w:rPr>
          <w:color w:val="auto"/>
          <w:szCs w:val="21"/>
        </w:rPr>
        <w:t>建议书，在建议书中应包括但不限于：</w:t>
      </w:r>
      <w:r>
        <w:rPr>
          <w:rFonts w:hint="eastAsia"/>
          <w:color w:val="auto"/>
          <w:szCs w:val="21"/>
          <w:lang w:eastAsia="zh-CN"/>
        </w:rPr>
        <w:t>部署计划</w:t>
      </w:r>
      <w:r>
        <w:rPr>
          <w:color w:val="auto"/>
          <w:szCs w:val="21"/>
        </w:rPr>
        <w:t>的内容、时间安排、形式、提交的文件目录、参加人员、地点、联络次数，并在报价中详细列明费用清单。</w:t>
      </w:r>
      <w:r>
        <w:rPr>
          <w:rFonts w:hint="eastAsia"/>
          <w:color w:val="auto"/>
          <w:szCs w:val="21"/>
        </w:rPr>
        <w:t>具体</w:t>
      </w:r>
      <w:r>
        <w:rPr>
          <w:color w:val="auto"/>
          <w:szCs w:val="21"/>
        </w:rPr>
        <w:t>细节在合同谈判中确定。</w:t>
      </w:r>
    </w:p>
    <w:p w14:paraId="22405450">
      <w:pPr>
        <w:pStyle w:val="5"/>
        <w:rPr>
          <w:color w:val="auto"/>
          <w:szCs w:val="21"/>
        </w:rPr>
      </w:pPr>
      <w:r>
        <w:rPr>
          <w:color w:val="auto"/>
          <w:szCs w:val="21"/>
        </w:rPr>
        <w:t>每次</w:t>
      </w:r>
      <w:r>
        <w:rPr>
          <w:rFonts w:hint="eastAsia"/>
          <w:color w:val="auto"/>
          <w:szCs w:val="21"/>
          <w:lang w:eastAsia="zh-CN"/>
        </w:rPr>
        <w:t>部署</w:t>
      </w:r>
      <w:r>
        <w:rPr>
          <w:color w:val="auto"/>
          <w:szCs w:val="21"/>
        </w:rPr>
        <w:t>会结束后，投标人应将会议内容整理</w:t>
      </w:r>
      <w:r>
        <w:rPr>
          <w:rFonts w:hint="eastAsia"/>
          <w:color w:val="auto"/>
          <w:szCs w:val="21"/>
        </w:rPr>
        <w:t>提供给</w:t>
      </w:r>
      <w:r>
        <w:rPr>
          <w:color w:val="auto"/>
          <w:szCs w:val="21"/>
        </w:rPr>
        <w:t>招标人备案。</w:t>
      </w:r>
    </w:p>
    <w:p w14:paraId="11683DD6">
      <w:pPr>
        <w:pStyle w:val="4"/>
        <w:rPr>
          <w:sz w:val="21"/>
          <w:szCs w:val="21"/>
        </w:rPr>
      </w:pPr>
      <w:bookmarkStart w:id="1082" w:name="_Toc13235"/>
      <w:r>
        <w:rPr>
          <w:sz w:val="21"/>
          <w:szCs w:val="21"/>
        </w:rPr>
        <w:t>安排</w:t>
      </w:r>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p>
    <w:p w14:paraId="193E56CD">
      <w:pPr>
        <w:pStyle w:val="5"/>
        <w:rPr>
          <w:color w:val="auto"/>
          <w:szCs w:val="21"/>
        </w:rPr>
      </w:pPr>
      <w:r>
        <w:rPr>
          <w:color w:val="auto"/>
          <w:szCs w:val="21"/>
        </w:rPr>
        <w:t>投标人与招标人的联络总则</w:t>
      </w:r>
    </w:p>
    <w:p w14:paraId="1011C612">
      <w:pPr>
        <w:pStyle w:val="1221"/>
        <w:jc w:val="both"/>
        <w:rPr>
          <w:szCs w:val="21"/>
        </w:rPr>
      </w:pPr>
      <w:r>
        <w:rPr>
          <w:szCs w:val="21"/>
        </w:rPr>
        <w:t>投标人与招标人的联络由</w:t>
      </w:r>
      <w:r>
        <w:rPr>
          <w:rFonts w:hint="eastAsia"/>
          <w:szCs w:val="21"/>
        </w:rPr>
        <w:t>投标人</w:t>
      </w:r>
      <w:r>
        <w:rPr>
          <w:szCs w:val="21"/>
        </w:rPr>
        <w:t>负责</w:t>
      </w:r>
      <w:r>
        <w:rPr>
          <w:rFonts w:hint="eastAsia"/>
          <w:szCs w:val="21"/>
        </w:rPr>
        <w:t>组织</w:t>
      </w:r>
      <w:r>
        <w:rPr>
          <w:szCs w:val="21"/>
        </w:rPr>
        <w:t>、联络</w:t>
      </w:r>
      <w:r>
        <w:rPr>
          <w:rFonts w:hint="eastAsia"/>
          <w:szCs w:val="21"/>
        </w:rPr>
        <w:t>相应供货商</w:t>
      </w:r>
      <w:r>
        <w:rPr>
          <w:szCs w:val="21"/>
        </w:rPr>
        <w:t>参加，投标人</w:t>
      </w:r>
      <w:r>
        <w:rPr>
          <w:rFonts w:hint="eastAsia"/>
          <w:szCs w:val="21"/>
        </w:rPr>
        <w:t>负责提供本项目</w:t>
      </w:r>
      <w:r>
        <w:rPr>
          <w:szCs w:val="21"/>
        </w:rPr>
        <w:t>联络会的地点并提供联络会所需的办公设施（</w:t>
      </w:r>
      <w:r>
        <w:rPr>
          <w:rFonts w:hint="eastAsia"/>
          <w:szCs w:val="21"/>
        </w:rPr>
        <w:t>投影仪、</w:t>
      </w:r>
      <w:r>
        <w:rPr>
          <w:szCs w:val="21"/>
        </w:rPr>
        <w:t>计算机、打印机等）。</w:t>
      </w:r>
    </w:p>
    <w:p w14:paraId="1347926B">
      <w:pPr>
        <w:pStyle w:val="1221"/>
        <w:jc w:val="both"/>
        <w:rPr>
          <w:szCs w:val="21"/>
        </w:rPr>
      </w:pPr>
      <w:r>
        <w:rPr>
          <w:szCs w:val="21"/>
        </w:rPr>
        <w:t>投标人在联络会议的前2周，向招标人提交</w:t>
      </w:r>
      <w:r>
        <w:rPr>
          <w:rFonts w:hint="eastAsia"/>
          <w:szCs w:val="21"/>
          <w:lang w:eastAsia="zh-CN"/>
        </w:rPr>
        <w:t>技术联络</w:t>
      </w:r>
      <w:r>
        <w:rPr>
          <w:szCs w:val="21"/>
        </w:rPr>
        <w:t>工作计划。</w:t>
      </w:r>
    </w:p>
    <w:p w14:paraId="6C022E5F">
      <w:pPr>
        <w:pStyle w:val="1221"/>
        <w:jc w:val="both"/>
        <w:rPr>
          <w:szCs w:val="21"/>
        </w:rPr>
      </w:pPr>
      <w:r>
        <w:rPr>
          <w:szCs w:val="21"/>
        </w:rPr>
        <w:t>联络时间依据投标人的工作计划进行安排，投标人应提前至少三个星期通知招标人，并给出会议日程安排。</w:t>
      </w:r>
    </w:p>
    <w:p w14:paraId="08CA7865">
      <w:pPr>
        <w:pStyle w:val="1221"/>
        <w:jc w:val="both"/>
        <w:rPr>
          <w:szCs w:val="21"/>
        </w:rPr>
      </w:pPr>
      <w:r>
        <w:rPr>
          <w:rFonts w:hint="eastAsia"/>
          <w:szCs w:val="21"/>
        </w:rPr>
        <w:t>招标人根据工程实际需要，将不定期在招标人所在地举行须投标人参加的会议。投标人在招标人所在地参加的会议所发生的费用由投标人自行负责</w:t>
      </w:r>
      <w:r>
        <w:rPr>
          <w:szCs w:val="21"/>
        </w:rPr>
        <w:t>。</w:t>
      </w:r>
    </w:p>
    <w:p w14:paraId="76207EF4">
      <w:pPr>
        <w:pStyle w:val="1221"/>
        <w:jc w:val="both"/>
        <w:rPr>
          <w:szCs w:val="21"/>
        </w:rPr>
      </w:pPr>
      <w:r>
        <w:rPr>
          <w:szCs w:val="21"/>
        </w:rPr>
        <w:t>联络期间，投标人须向招标人提供有关的</w:t>
      </w:r>
      <w:r>
        <w:rPr>
          <w:rFonts w:hint="eastAsia"/>
          <w:szCs w:val="21"/>
          <w:lang w:eastAsia="zh-CN"/>
        </w:rPr>
        <w:t>部署</w:t>
      </w:r>
      <w:r>
        <w:rPr>
          <w:szCs w:val="21"/>
        </w:rPr>
        <w:t>方案文件、图纸和设备技术资料。双方对提出的功能规格书及图纸文件做认真讨论研究，取得一致意见后，双方签字</w:t>
      </w:r>
      <w:r>
        <w:rPr>
          <w:rFonts w:hint="eastAsia"/>
          <w:szCs w:val="21"/>
        </w:rPr>
        <w:t>确认</w:t>
      </w:r>
      <w:r>
        <w:rPr>
          <w:szCs w:val="21"/>
        </w:rPr>
        <w:t>。</w:t>
      </w:r>
    </w:p>
    <w:p w14:paraId="0240C929">
      <w:pPr>
        <w:pStyle w:val="1221"/>
        <w:jc w:val="both"/>
        <w:rPr>
          <w:szCs w:val="21"/>
        </w:rPr>
      </w:pPr>
      <w:r>
        <w:rPr>
          <w:szCs w:val="21"/>
        </w:rPr>
        <w:t>投标人应在联络会议前至少1</w:t>
      </w:r>
      <w:r>
        <w:rPr>
          <w:rFonts w:hint="eastAsia"/>
          <w:szCs w:val="21"/>
          <w:lang w:eastAsia="zh-CN"/>
        </w:rPr>
        <w:t>周</w:t>
      </w:r>
      <w:r>
        <w:rPr>
          <w:szCs w:val="21"/>
        </w:rPr>
        <w:t>，向招标人</w:t>
      </w:r>
      <w:r>
        <w:rPr>
          <w:rFonts w:hint="eastAsia"/>
          <w:szCs w:val="21"/>
        </w:rPr>
        <w:t>、</w:t>
      </w:r>
      <w:r>
        <w:rPr>
          <w:rFonts w:hint="eastAsia"/>
          <w:szCs w:val="21"/>
          <w:lang w:eastAsia="zh-CN"/>
        </w:rPr>
        <w:t>相关</w:t>
      </w:r>
      <w:r>
        <w:rPr>
          <w:szCs w:val="21"/>
        </w:rPr>
        <w:t>单位</w:t>
      </w:r>
      <w:r>
        <w:rPr>
          <w:rFonts w:hint="eastAsia"/>
          <w:szCs w:val="21"/>
        </w:rPr>
        <w:t>和咨询单位</w:t>
      </w:r>
      <w:r>
        <w:rPr>
          <w:szCs w:val="21"/>
        </w:rPr>
        <w:t>提交所要求的全部文件和资料，这些资料包括但不限于如下内容：</w:t>
      </w:r>
    </w:p>
    <w:p w14:paraId="524A77D8">
      <w:pPr>
        <w:widowControl/>
        <w:numPr>
          <w:ilvl w:val="0"/>
          <w:numId w:val="35"/>
        </w:numPr>
        <w:tabs>
          <w:tab w:val="left" w:pos="1486"/>
        </w:tabs>
        <w:adjustRightInd w:val="0"/>
        <w:snapToGrid w:val="0"/>
        <w:rPr>
          <w:sz w:val="21"/>
          <w:szCs w:val="21"/>
        </w:rPr>
      </w:pPr>
      <w:r>
        <w:rPr>
          <w:sz w:val="21"/>
          <w:szCs w:val="21"/>
        </w:rPr>
        <w:t>以合同技术附件为基础编制的系统功能规格书。</w:t>
      </w:r>
    </w:p>
    <w:p w14:paraId="02EBE31D">
      <w:pPr>
        <w:widowControl/>
        <w:numPr>
          <w:ilvl w:val="0"/>
          <w:numId w:val="35"/>
        </w:numPr>
        <w:tabs>
          <w:tab w:val="left" w:pos="1486"/>
        </w:tabs>
        <w:adjustRightInd w:val="0"/>
        <w:snapToGrid w:val="0"/>
        <w:rPr>
          <w:sz w:val="21"/>
          <w:szCs w:val="21"/>
        </w:rPr>
      </w:pPr>
      <w:r>
        <w:rPr>
          <w:sz w:val="21"/>
          <w:szCs w:val="21"/>
        </w:rPr>
        <w:t>产品的技术参数，所采用的技术标准。相关的技术标准应符合中国国家标准和国际标准。</w:t>
      </w:r>
    </w:p>
    <w:p w14:paraId="1F466456">
      <w:pPr>
        <w:widowControl/>
        <w:numPr>
          <w:ilvl w:val="0"/>
          <w:numId w:val="35"/>
        </w:numPr>
        <w:tabs>
          <w:tab w:val="left" w:pos="1486"/>
        </w:tabs>
        <w:adjustRightInd w:val="0"/>
        <w:snapToGrid w:val="0"/>
        <w:rPr>
          <w:sz w:val="21"/>
          <w:szCs w:val="21"/>
        </w:rPr>
      </w:pPr>
      <w:r>
        <w:rPr>
          <w:sz w:val="21"/>
          <w:szCs w:val="21"/>
        </w:rPr>
        <w:t>系统技术说明，各相关设备的接口方案细则。</w:t>
      </w:r>
    </w:p>
    <w:p w14:paraId="29E262C7">
      <w:pPr>
        <w:widowControl/>
        <w:numPr>
          <w:ilvl w:val="0"/>
          <w:numId w:val="35"/>
        </w:numPr>
        <w:tabs>
          <w:tab w:val="left" w:pos="1486"/>
        </w:tabs>
        <w:adjustRightInd w:val="0"/>
        <w:snapToGrid w:val="0"/>
        <w:rPr>
          <w:sz w:val="21"/>
          <w:szCs w:val="21"/>
        </w:rPr>
      </w:pPr>
      <w:r>
        <w:rPr>
          <w:sz w:val="21"/>
          <w:szCs w:val="21"/>
        </w:rPr>
        <w:t>产品图纸文件。</w:t>
      </w:r>
    </w:p>
    <w:p w14:paraId="2E5BA80C">
      <w:pPr>
        <w:widowControl/>
        <w:numPr>
          <w:ilvl w:val="0"/>
          <w:numId w:val="35"/>
        </w:numPr>
        <w:tabs>
          <w:tab w:val="left" w:pos="1486"/>
        </w:tabs>
        <w:adjustRightInd w:val="0"/>
        <w:snapToGrid w:val="0"/>
        <w:rPr>
          <w:sz w:val="21"/>
          <w:szCs w:val="21"/>
        </w:rPr>
      </w:pPr>
      <w:r>
        <w:rPr>
          <w:sz w:val="21"/>
          <w:szCs w:val="21"/>
        </w:rPr>
        <w:t>投标人在各阶段的各项测试检验规范书和测试检验计划。</w:t>
      </w:r>
    </w:p>
    <w:p w14:paraId="76CA37F9">
      <w:pPr>
        <w:widowControl/>
        <w:numPr>
          <w:ilvl w:val="0"/>
          <w:numId w:val="35"/>
        </w:numPr>
        <w:tabs>
          <w:tab w:val="left" w:pos="1486"/>
        </w:tabs>
        <w:adjustRightInd w:val="0"/>
        <w:snapToGrid w:val="0"/>
        <w:rPr>
          <w:sz w:val="21"/>
          <w:szCs w:val="21"/>
        </w:rPr>
      </w:pPr>
      <w:r>
        <w:rPr>
          <w:sz w:val="21"/>
          <w:szCs w:val="21"/>
        </w:rPr>
        <w:t>文件管理规范。</w:t>
      </w:r>
    </w:p>
    <w:p w14:paraId="5B4C5E75">
      <w:pPr>
        <w:pStyle w:val="5"/>
        <w:rPr>
          <w:color w:val="auto"/>
          <w:szCs w:val="21"/>
        </w:rPr>
      </w:pPr>
      <w:r>
        <w:rPr>
          <w:color w:val="auto"/>
          <w:szCs w:val="21"/>
        </w:rPr>
        <w:t>具体</w:t>
      </w:r>
      <w:r>
        <w:rPr>
          <w:rFonts w:hint="eastAsia"/>
          <w:color w:val="auto"/>
          <w:szCs w:val="21"/>
          <w:lang w:eastAsia="zh-CN"/>
        </w:rPr>
        <w:t>技术联络</w:t>
      </w:r>
      <w:r>
        <w:rPr>
          <w:color w:val="auto"/>
          <w:szCs w:val="21"/>
        </w:rPr>
        <w:t>内容及安排</w:t>
      </w:r>
    </w:p>
    <w:p w14:paraId="7E606E27">
      <w:pPr>
        <w:widowControl/>
        <w:tabs>
          <w:tab w:val="left" w:pos="370"/>
        </w:tabs>
        <w:adjustRightInd w:val="0"/>
        <w:snapToGrid w:val="0"/>
        <w:ind w:firstLine="840" w:firstLineChars="400"/>
        <w:rPr>
          <w:sz w:val="21"/>
          <w:szCs w:val="21"/>
        </w:rPr>
      </w:pPr>
      <w:r>
        <w:rPr>
          <w:sz w:val="21"/>
          <w:szCs w:val="21"/>
        </w:rPr>
        <w:t>对于</w:t>
      </w:r>
      <w:r>
        <w:rPr>
          <w:rFonts w:hint="eastAsia"/>
          <w:sz w:val="21"/>
          <w:szCs w:val="21"/>
        </w:rPr>
        <w:t>本项目</w:t>
      </w:r>
      <w:r>
        <w:rPr>
          <w:sz w:val="21"/>
          <w:szCs w:val="21"/>
        </w:rPr>
        <w:t>招标范围内</w:t>
      </w:r>
      <w:r>
        <w:rPr>
          <w:rFonts w:hint="eastAsia"/>
          <w:sz w:val="21"/>
          <w:szCs w:val="21"/>
        </w:rPr>
        <w:t>的</w:t>
      </w:r>
      <w:r>
        <w:rPr>
          <w:sz w:val="21"/>
          <w:szCs w:val="21"/>
        </w:rPr>
        <w:t>系统，应按本章描述的所有内容进行联络。</w:t>
      </w:r>
    </w:p>
    <w:p w14:paraId="68351AE6">
      <w:pPr>
        <w:pStyle w:val="1221"/>
        <w:jc w:val="both"/>
        <w:rPr>
          <w:szCs w:val="21"/>
        </w:rPr>
      </w:pPr>
      <w:r>
        <w:rPr>
          <w:szCs w:val="21"/>
        </w:rPr>
        <w:t>第一次</w:t>
      </w:r>
      <w:r>
        <w:rPr>
          <w:rFonts w:hint="eastAsia"/>
          <w:szCs w:val="21"/>
          <w:lang w:eastAsia="zh-CN"/>
        </w:rPr>
        <w:t>技术联络</w:t>
      </w:r>
      <w:r>
        <w:rPr>
          <w:szCs w:val="21"/>
        </w:rPr>
        <w:t>会议</w:t>
      </w:r>
    </w:p>
    <w:p w14:paraId="5D5E97B9">
      <w:pPr>
        <w:widowControl/>
        <w:numPr>
          <w:ilvl w:val="0"/>
          <w:numId w:val="35"/>
        </w:numPr>
        <w:tabs>
          <w:tab w:val="left" w:pos="1486"/>
        </w:tabs>
        <w:adjustRightInd w:val="0"/>
        <w:snapToGrid w:val="0"/>
        <w:rPr>
          <w:sz w:val="21"/>
          <w:szCs w:val="21"/>
        </w:rPr>
      </w:pPr>
      <w:r>
        <w:rPr>
          <w:rFonts w:hint="eastAsia"/>
          <w:sz w:val="21"/>
          <w:szCs w:val="21"/>
        </w:rPr>
        <w:t>第一次联络在招标人所在地或招标人建议的地点进行；应在合同生效后</w:t>
      </w:r>
      <w:r>
        <w:rPr>
          <w:sz w:val="21"/>
          <w:szCs w:val="21"/>
        </w:rPr>
        <w:t>20</w:t>
      </w:r>
      <w:r>
        <w:rPr>
          <w:rFonts w:hint="eastAsia"/>
          <w:sz w:val="21"/>
          <w:szCs w:val="21"/>
        </w:rPr>
        <w:t>天内进行。</w:t>
      </w:r>
    </w:p>
    <w:p w14:paraId="3C645043">
      <w:pPr>
        <w:widowControl/>
        <w:numPr>
          <w:ilvl w:val="0"/>
          <w:numId w:val="35"/>
        </w:numPr>
        <w:tabs>
          <w:tab w:val="left" w:pos="1486"/>
        </w:tabs>
        <w:adjustRightInd w:val="0"/>
        <w:snapToGrid w:val="0"/>
        <w:rPr>
          <w:sz w:val="21"/>
          <w:szCs w:val="21"/>
        </w:rPr>
      </w:pPr>
      <w:r>
        <w:rPr>
          <w:rFonts w:hint="eastAsia"/>
          <w:sz w:val="21"/>
          <w:szCs w:val="21"/>
        </w:rPr>
        <w:t>根据总体计划，按时召开第一次联络会议，预定会期为5天，预计招标人15人参加。</w:t>
      </w:r>
    </w:p>
    <w:p w14:paraId="24FC1441">
      <w:pPr>
        <w:widowControl/>
        <w:numPr>
          <w:ilvl w:val="0"/>
          <w:numId w:val="35"/>
        </w:numPr>
        <w:tabs>
          <w:tab w:val="left" w:pos="1486"/>
        </w:tabs>
        <w:adjustRightInd w:val="0"/>
        <w:snapToGrid w:val="0"/>
        <w:rPr>
          <w:sz w:val="21"/>
          <w:szCs w:val="21"/>
        </w:rPr>
      </w:pPr>
      <w:r>
        <w:rPr>
          <w:rFonts w:hint="eastAsia"/>
          <w:sz w:val="21"/>
          <w:szCs w:val="21"/>
        </w:rPr>
        <w:t>在第一次</w:t>
      </w:r>
      <w:r>
        <w:rPr>
          <w:rFonts w:hint="eastAsia"/>
          <w:sz w:val="21"/>
          <w:szCs w:val="21"/>
          <w:lang w:eastAsia="zh-CN"/>
        </w:rPr>
        <w:t>技术联络</w:t>
      </w:r>
      <w:r>
        <w:rPr>
          <w:rFonts w:hint="eastAsia"/>
          <w:sz w:val="21"/>
          <w:szCs w:val="21"/>
        </w:rPr>
        <w:t>会议前30天，投标人应先提供5份设备的</w:t>
      </w:r>
      <w:r>
        <w:rPr>
          <w:rFonts w:hint="eastAsia"/>
          <w:sz w:val="21"/>
          <w:szCs w:val="21"/>
          <w:lang w:eastAsia="zh-CN"/>
        </w:rPr>
        <w:t>部署</w:t>
      </w:r>
      <w:r>
        <w:rPr>
          <w:rFonts w:hint="eastAsia"/>
          <w:sz w:val="21"/>
          <w:szCs w:val="21"/>
        </w:rPr>
        <w:t>文件、标准、图纸和资料给招标人，以作准备。</w:t>
      </w:r>
      <w:r>
        <w:rPr>
          <w:sz w:val="21"/>
          <w:szCs w:val="21"/>
        </w:rPr>
        <w:t>投标人</w:t>
      </w:r>
      <w:r>
        <w:rPr>
          <w:rFonts w:hint="eastAsia"/>
          <w:sz w:val="21"/>
          <w:szCs w:val="21"/>
        </w:rPr>
        <w:t>提供的</w:t>
      </w:r>
      <w:r>
        <w:rPr>
          <w:sz w:val="21"/>
          <w:szCs w:val="21"/>
        </w:rPr>
        <w:t>图纸</w:t>
      </w:r>
      <w:r>
        <w:rPr>
          <w:rFonts w:hint="eastAsia"/>
          <w:sz w:val="21"/>
          <w:szCs w:val="21"/>
        </w:rPr>
        <w:t>、</w:t>
      </w:r>
      <w:r>
        <w:rPr>
          <w:sz w:val="21"/>
          <w:szCs w:val="21"/>
        </w:rPr>
        <w:t>资料包括但不限于：</w:t>
      </w:r>
    </w:p>
    <w:p w14:paraId="40895A93">
      <w:pPr>
        <w:adjustRightInd w:val="0"/>
        <w:snapToGrid w:val="0"/>
        <w:ind w:left="1218" w:leftChars="507" w:hanging="1"/>
        <w:rPr>
          <w:sz w:val="21"/>
          <w:szCs w:val="21"/>
        </w:rPr>
      </w:pPr>
      <w:r>
        <w:rPr>
          <w:rFonts w:hint="eastAsia"/>
          <w:sz w:val="21"/>
          <w:szCs w:val="21"/>
        </w:rPr>
        <w:t>——</w:t>
      </w:r>
      <w:r>
        <w:rPr>
          <w:sz w:val="21"/>
          <w:szCs w:val="21"/>
        </w:rPr>
        <w:t>以招标文件为基础编制的系统功能规范书。</w:t>
      </w:r>
    </w:p>
    <w:p w14:paraId="7810A034">
      <w:pPr>
        <w:adjustRightInd w:val="0"/>
        <w:snapToGrid w:val="0"/>
        <w:ind w:left="1218" w:leftChars="507" w:hanging="1"/>
        <w:rPr>
          <w:sz w:val="21"/>
          <w:szCs w:val="21"/>
        </w:rPr>
      </w:pPr>
      <w:r>
        <w:rPr>
          <w:rFonts w:hint="eastAsia"/>
          <w:sz w:val="21"/>
          <w:szCs w:val="21"/>
        </w:rPr>
        <w:t>——</w:t>
      </w:r>
      <w:r>
        <w:rPr>
          <w:sz w:val="21"/>
          <w:szCs w:val="21"/>
        </w:rPr>
        <w:t>产品的技术参数，采用的技术标准。相关的技术标准符合中国国家标准和国际标准。</w:t>
      </w:r>
    </w:p>
    <w:p w14:paraId="71D4F26E">
      <w:pPr>
        <w:adjustRightInd w:val="0"/>
        <w:snapToGrid w:val="0"/>
        <w:ind w:left="1218" w:leftChars="507" w:hanging="1"/>
        <w:rPr>
          <w:sz w:val="21"/>
          <w:szCs w:val="21"/>
        </w:rPr>
      </w:pPr>
      <w:r>
        <w:rPr>
          <w:rFonts w:hint="eastAsia"/>
          <w:sz w:val="21"/>
          <w:szCs w:val="21"/>
        </w:rPr>
        <w:t>——</w:t>
      </w:r>
      <w:r>
        <w:rPr>
          <w:sz w:val="21"/>
          <w:szCs w:val="21"/>
        </w:rPr>
        <w:t>系统技术说明，各相关设备的接口方案细则。</w:t>
      </w:r>
    </w:p>
    <w:p w14:paraId="5AF4F268">
      <w:pPr>
        <w:adjustRightInd w:val="0"/>
        <w:snapToGrid w:val="0"/>
        <w:ind w:left="1218" w:leftChars="507" w:hanging="1"/>
        <w:rPr>
          <w:sz w:val="21"/>
          <w:szCs w:val="21"/>
        </w:rPr>
      </w:pPr>
      <w:r>
        <w:rPr>
          <w:rFonts w:hint="eastAsia"/>
          <w:sz w:val="21"/>
          <w:szCs w:val="21"/>
        </w:rPr>
        <w:t>——</w:t>
      </w:r>
      <w:r>
        <w:rPr>
          <w:sz w:val="21"/>
          <w:szCs w:val="21"/>
        </w:rPr>
        <w:t>产品图纸文件。</w:t>
      </w:r>
    </w:p>
    <w:p w14:paraId="0892150A">
      <w:pPr>
        <w:adjustRightInd w:val="0"/>
        <w:snapToGrid w:val="0"/>
        <w:ind w:left="1218" w:leftChars="507" w:hanging="1"/>
        <w:rPr>
          <w:sz w:val="21"/>
          <w:szCs w:val="21"/>
        </w:rPr>
      </w:pPr>
      <w:r>
        <w:rPr>
          <w:rFonts w:hint="eastAsia"/>
          <w:sz w:val="21"/>
          <w:szCs w:val="21"/>
        </w:rPr>
        <w:t>——</w:t>
      </w:r>
      <w:r>
        <w:rPr>
          <w:sz w:val="21"/>
          <w:szCs w:val="21"/>
        </w:rPr>
        <w:t>投标人在各阶段的各项测试检验规范书和测试检验报告。</w:t>
      </w:r>
    </w:p>
    <w:p w14:paraId="52C0631C">
      <w:pPr>
        <w:adjustRightInd w:val="0"/>
        <w:snapToGrid w:val="0"/>
        <w:ind w:left="1218" w:leftChars="507" w:hanging="1"/>
        <w:rPr>
          <w:sz w:val="21"/>
          <w:szCs w:val="21"/>
        </w:rPr>
      </w:pPr>
      <w:r>
        <w:rPr>
          <w:rFonts w:hint="eastAsia"/>
          <w:sz w:val="21"/>
          <w:szCs w:val="21"/>
        </w:rPr>
        <w:t>——</w:t>
      </w:r>
      <w:r>
        <w:rPr>
          <w:sz w:val="21"/>
          <w:szCs w:val="21"/>
        </w:rPr>
        <w:t>文件管理规范。</w:t>
      </w:r>
    </w:p>
    <w:p w14:paraId="72370EE0">
      <w:pPr>
        <w:widowControl/>
        <w:numPr>
          <w:ilvl w:val="0"/>
          <w:numId w:val="35"/>
        </w:numPr>
        <w:tabs>
          <w:tab w:val="left" w:pos="1486"/>
        </w:tabs>
        <w:adjustRightInd w:val="0"/>
        <w:snapToGrid w:val="0"/>
        <w:rPr>
          <w:sz w:val="21"/>
          <w:szCs w:val="21"/>
        </w:rPr>
      </w:pPr>
      <w:r>
        <w:rPr>
          <w:rFonts w:hint="eastAsia"/>
          <w:sz w:val="21"/>
          <w:szCs w:val="21"/>
          <w:lang w:eastAsia="zh-CN"/>
        </w:rPr>
        <w:t>技术联络</w:t>
      </w:r>
      <w:r>
        <w:rPr>
          <w:sz w:val="21"/>
          <w:szCs w:val="21"/>
        </w:rPr>
        <w:t>主要内容与责任</w:t>
      </w:r>
    </w:p>
    <w:p w14:paraId="3500A74B">
      <w:pPr>
        <w:adjustRightInd w:val="0"/>
        <w:snapToGrid w:val="0"/>
        <w:ind w:left="1320" w:leftChars="550"/>
        <w:jc w:val="both"/>
        <w:rPr>
          <w:sz w:val="21"/>
          <w:szCs w:val="21"/>
        </w:rPr>
      </w:pPr>
      <w:r>
        <w:rPr>
          <w:rFonts w:hint="eastAsia"/>
          <w:sz w:val="21"/>
          <w:szCs w:val="21"/>
        </w:rPr>
        <w:t>——</w:t>
      </w:r>
      <w:r>
        <w:rPr>
          <w:sz w:val="21"/>
          <w:szCs w:val="21"/>
        </w:rPr>
        <w:t>确认系统功能、设备配置、系统内部接口；投标人对所供的系统/产品（包括</w:t>
      </w:r>
      <w:r>
        <w:rPr>
          <w:rFonts w:hint="eastAsia"/>
          <w:sz w:val="21"/>
          <w:szCs w:val="21"/>
        </w:rPr>
        <w:t>供货商</w:t>
      </w:r>
      <w:r>
        <w:rPr>
          <w:sz w:val="21"/>
          <w:szCs w:val="21"/>
        </w:rPr>
        <w:t>的系统/产品）</w:t>
      </w:r>
      <w:r>
        <w:rPr>
          <w:rFonts w:hint="eastAsia"/>
          <w:sz w:val="21"/>
          <w:szCs w:val="21"/>
          <w:lang w:eastAsia="zh-CN"/>
        </w:rPr>
        <w:t>规划</w:t>
      </w:r>
      <w:r>
        <w:rPr>
          <w:sz w:val="21"/>
          <w:szCs w:val="21"/>
        </w:rPr>
        <w:t>负全责。</w:t>
      </w:r>
    </w:p>
    <w:p w14:paraId="5CC97ED3">
      <w:pPr>
        <w:adjustRightInd w:val="0"/>
        <w:snapToGrid w:val="0"/>
        <w:ind w:left="1320" w:leftChars="550"/>
        <w:jc w:val="both"/>
        <w:rPr>
          <w:sz w:val="21"/>
          <w:szCs w:val="21"/>
        </w:rPr>
      </w:pPr>
      <w:r>
        <w:rPr>
          <w:rFonts w:hint="eastAsia"/>
          <w:sz w:val="21"/>
          <w:szCs w:val="21"/>
        </w:rPr>
        <w:t>——</w:t>
      </w:r>
      <w:r>
        <w:rPr>
          <w:sz w:val="21"/>
          <w:szCs w:val="21"/>
        </w:rPr>
        <w:t>确认产品的技术参数、技术标准。</w:t>
      </w:r>
    </w:p>
    <w:p w14:paraId="79DC93B1">
      <w:pPr>
        <w:adjustRightInd w:val="0"/>
        <w:snapToGrid w:val="0"/>
        <w:ind w:left="1320" w:leftChars="550"/>
        <w:jc w:val="both"/>
        <w:rPr>
          <w:sz w:val="21"/>
          <w:szCs w:val="21"/>
        </w:rPr>
      </w:pPr>
      <w:r>
        <w:rPr>
          <w:rFonts w:hint="eastAsia"/>
          <w:sz w:val="21"/>
          <w:szCs w:val="21"/>
        </w:rPr>
        <w:t>——</w:t>
      </w:r>
      <w:r>
        <w:rPr>
          <w:sz w:val="21"/>
          <w:szCs w:val="21"/>
        </w:rPr>
        <w:t>确认与</w:t>
      </w:r>
      <w:r>
        <w:rPr>
          <w:rFonts w:hint="eastAsia"/>
          <w:sz w:val="21"/>
          <w:szCs w:val="21"/>
        </w:rPr>
        <w:t>本项目</w:t>
      </w:r>
      <w:r>
        <w:rPr>
          <w:sz w:val="21"/>
          <w:szCs w:val="21"/>
        </w:rPr>
        <w:t>相关的所有</w:t>
      </w:r>
      <w:r>
        <w:rPr>
          <w:rFonts w:hint="eastAsia"/>
          <w:sz w:val="21"/>
          <w:szCs w:val="21"/>
        </w:rPr>
        <w:t>外部</w:t>
      </w:r>
      <w:r>
        <w:rPr>
          <w:sz w:val="21"/>
          <w:szCs w:val="21"/>
        </w:rPr>
        <w:t>接口条件及与</w:t>
      </w:r>
      <w:r>
        <w:rPr>
          <w:rFonts w:hint="eastAsia"/>
          <w:sz w:val="21"/>
          <w:szCs w:val="21"/>
        </w:rPr>
        <w:t>本项目内部的</w:t>
      </w:r>
      <w:r>
        <w:rPr>
          <w:sz w:val="21"/>
          <w:szCs w:val="21"/>
        </w:rPr>
        <w:t>接口细则。</w:t>
      </w:r>
    </w:p>
    <w:p w14:paraId="5ACDD02F">
      <w:pPr>
        <w:adjustRightInd w:val="0"/>
        <w:snapToGrid w:val="0"/>
        <w:ind w:left="1320" w:leftChars="550"/>
        <w:jc w:val="both"/>
        <w:rPr>
          <w:sz w:val="21"/>
          <w:szCs w:val="21"/>
        </w:rPr>
      </w:pPr>
      <w:r>
        <w:rPr>
          <w:rFonts w:hint="eastAsia"/>
          <w:sz w:val="21"/>
          <w:szCs w:val="21"/>
        </w:rPr>
        <w:t>——</w:t>
      </w:r>
      <w:r>
        <w:rPr>
          <w:sz w:val="21"/>
          <w:szCs w:val="21"/>
        </w:rPr>
        <w:t>提出对</w:t>
      </w:r>
      <w:r>
        <w:rPr>
          <w:rFonts w:hint="eastAsia"/>
          <w:sz w:val="21"/>
          <w:szCs w:val="21"/>
        </w:rPr>
        <w:t>本项目系统</w:t>
      </w:r>
      <w:r>
        <w:rPr>
          <w:sz w:val="21"/>
          <w:szCs w:val="21"/>
        </w:rPr>
        <w:t>方案的优化内容并确认。</w:t>
      </w:r>
    </w:p>
    <w:p w14:paraId="4A39F58A">
      <w:pPr>
        <w:adjustRightInd w:val="0"/>
        <w:snapToGrid w:val="0"/>
        <w:ind w:left="1320" w:leftChars="550"/>
        <w:jc w:val="both"/>
        <w:rPr>
          <w:sz w:val="21"/>
          <w:szCs w:val="21"/>
        </w:rPr>
      </w:pPr>
      <w:r>
        <w:rPr>
          <w:rFonts w:hint="eastAsia"/>
          <w:sz w:val="21"/>
          <w:szCs w:val="21"/>
        </w:rPr>
        <w:t>——</w:t>
      </w:r>
      <w:r>
        <w:rPr>
          <w:sz w:val="21"/>
          <w:szCs w:val="21"/>
        </w:rPr>
        <w:t>确认系统及设备的保护配置。</w:t>
      </w:r>
    </w:p>
    <w:p w14:paraId="4353B539">
      <w:pPr>
        <w:adjustRightInd w:val="0"/>
        <w:snapToGrid w:val="0"/>
        <w:ind w:left="1320" w:leftChars="550"/>
        <w:jc w:val="both"/>
        <w:rPr>
          <w:sz w:val="21"/>
          <w:szCs w:val="21"/>
        </w:rPr>
      </w:pPr>
      <w:r>
        <w:rPr>
          <w:rFonts w:hint="eastAsia"/>
          <w:sz w:val="21"/>
          <w:szCs w:val="21"/>
        </w:rPr>
        <w:t>——</w:t>
      </w:r>
      <w:r>
        <w:rPr>
          <w:sz w:val="21"/>
          <w:szCs w:val="21"/>
        </w:rPr>
        <w:t>确认合同设备的制造标准，包括工艺、结构形式等。</w:t>
      </w:r>
    </w:p>
    <w:p w14:paraId="533A8E16">
      <w:pPr>
        <w:adjustRightInd w:val="0"/>
        <w:snapToGrid w:val="0"/>
        <w:ind w:left="1320" w:leftChars="550"/>
        <w:jc w:val="both"/>
        <w:rPr>
          <w:sz w:val="21"/>
          <w:szCs w:val="21"/>
        </w:rPr>
      </w:pPr>
      <w:r>
        <w:rPr>
          <w:rFonts w:hint="eastAsia"/>
          <w:sz w:val="21"/>
          <w:szCs w:val="21"/>
        </w:rPr>
        <w:t>——</w:t>
      </w:r>
      <w:r>
        <w:rPr>
          <w:sz w:val="21"/>
          <w:szCs w:val="21"/>
        </w:rPr>
        <w:t>确认设备</w:t>
      </w:r>
      <w:r>
        <w:rPr>
          <w:rFonts w:hint="eastAsia"/>
          <w:sz w:val="21"/>
          <w:szCs w:val="21"/>
        </w:rPr>
        <w:t>及线缆</w:t>
      </w:r>
      <w:r>
        <w:rPr>
          <w:sz w:val="21"/>
          <w:szCs w:val="21"/>
        </w:rPr>
        <w:t>的安装方法、要求。</w:t>
      </w:r>
    </w:p>
    <w:p w14:paraId="4A71582C">
      <w:pPr>
        <w:adjustRightInd w:val="0"/>
        <w:snapToGrid w:val="0"/>
        <w:ind w:left="1320" w:leftChars="550"/>
        <w:jc w:val="both"/>
        <w:rPr>
          <w:sz w:val="21"/>
          <w:szCs w:val="21"/>
        </w:rPr>
      </w:pPr>
      <w:r>
        <w:rPr>
          <w:rFonts w:hint="eastAsia"/>
          <w:sz w:val="21"/>
          <w:szCs w:val="21"/>
        </w:rPr>
        <w:t>——</w:t>
      </w:r>
      <w:r>
        <w:rPr>
          <w:sz w:val="21"/>
          <w:szCs w:val="21"/>
        </w:rPr>
        <w:t>为了保证</w:t>
      </w:r>
      <w:r>
        <w:rPr>
          <w:rFonts w:hint="eastAsia"/>
          <w:sz w:val="21"/>
          <w:szCs w:val="21"/>
          <w:lang w:eastAsia="zh-CN"/>
        </w:rPr>
        <w:t>部署规划</w:t>
      </w:r>
      <w:r>
        <w:rPr>
          <w:sz w:val="21"/>
          <w:szCs w:val="21"/>
        </w:rPr>
        <w:t>的正确性，投标人也应对招标人提供的基础资料和与本系统相关的接口条件进行校核。</w:t>
      </w:r>
    </w:p>
    <w:p w14:paraId="33B0564B">
      <w:pPr>
        <w:adjustRightInd w:val="0"/>
        <w:snapToGrid w:val="0"/>
        <w:ind w:left="1320" w:leftChars="550"/>
        <w:jc w:val="both"/>
        <w:rPr>
          <w:sz w:val="21"/>
          <w:szCs w:val="21"/>
        </w:rPr>
      </w:pPr>
      <w:r>
        <w:rPr>
          <w:rFonts w:hint="eastAsia"/>
          <w:sz w:val="21"/>
          <w:szCs w:val="21"/>
        </w:rPr>
        <w:t>——</w:t>
      </w:r>
      <w:r>
        <w:rPr>
          <w:sz w:val="21"/>
          <w:szCs w:val="21"/>
        </w:rPr>
        <w:t>讨论和确认第二次联络的内容和议程。</w:t>
      </w:r>
    </w:p>
    <w:p w14:paraId="1F434862">
      <w:pPr>
        <w:pStyle w:val="1221"/>
        <w:jc w:val="both"/>
        <w:rPr>
          <w:szCs w:val="21"/>
        </w:rPr>
      </w:pPr>
      <w:r>
        <w:rPr>
          <w:szCs w:val="21"/>
        </w:rPr>
        <w:t>第二次联络会议</w:t>
      </w:r>
    </w:p>
    <w:p w14:paraId="20A3DFF5">
      <w:pPr>
        <w:numPr>
          <w:ilvl w:val="0"/>
          <w:numId w:val="35"/>
        </w:numPr>
        <w:adjustRightInd w:val="0"/>
        <w:snapToGrid w:val="0"/>
        <w:rPr>
          <w:sz w:val="21"/>
          <w:szCs w:val="21"/>
        </w:rPr>
      </w:pPr>
      <w:r>
        <w:rPr>
          <w:sz w:val="21"/>
          <w:szCs w:val="21"/>
        </w:rPr>
        <w:t>第</w:t>
      </w:r>
      <w:r>
        <w:rPr>
          <w:rFonts w:hint="eastAsia"/>
          <w:sz w:val="21"/>
          <w:szCs w:val="21"/>
        </w:rPr>
        <w:t>二</w:t>
      </w:r>
      <w:r>
        <w:rPr>
          <w:sz w:val="21"/>
          <w:szCs w:val="21"/>
        </w:rPr>
        <w:t>次联络会议</w:t>
      </w:r>
      <w:r>
        <w:rPr>
          <w:rFonts w:hint="eastAsia"/>
          <w:sz w:val="21"/>
          <w:szCs w:val="21"/>
        </w:rPr>
        <w:t>在招标人所在地或招标人建议的地点进行。</w:t>
      </w:r>
    </w:p>
    <w:p w14:paraId="2C165292">
      <w:pPr>
        <w:numPr>
          <w:ilvl w:val="0"/>
          <w:numId w:val="35"/>
        </w:numPr>
        <w:adjustRightInd w:val="0"/>
        <w:snapToGrid w:val="0"/>
        <w:rPr>
          <w:sz w:val="21"/>
          <w:szCs w:val="21"/>
        </w:rPr>
      </w:pPr>
      <w:r>
        <w:rPr>
          <w:sz w:val="21"/>
          <w:szCs w:val="21"/>
        </w:rPr>
        <w:t>根据总体计划，按时召开第</w:t>
      </w:r>
      <w:r>
        <w:rPr>
          <w:rFonts w:hint="eastAsia"/>
          <w:sz w:val="21"/>
          <w:szCs w:val="21"/>
        </w:rPr>
        <w:t>二</w:t>
      </w:r>
      <w:r>
        <w:rPr>
          <w:sz w:val="21"/>
          <w:szCs w:val="21"/>
        </w:rPr>
        <w:t>次联络会议，预定会期为</w:t>
      </w:r>
      <w:r>
        <w:rPr>
          <w:rFonts w:hint="eastAsia"/>
          <w:sz w:val="21"/>
          <w:szCs w:val="21"/>
        </w:rPr>
        <w:t>5</w:t>
      </w:r>
      <w:r>
        <w:rPr>
          <w:sz w:val="21"/>
          <w:szCs w:val="21"/>
        </w:rPr>
        <w:t>天</w:t>
      </w:r>
      <w:r>
        <w:rPr>
          <w:rFonts w:hint="eastAsia"/>
          <w:sz w:val="21"/>
          <w:szCs w:val="21"/>
        </w:rPr>
        <w:t>，预计招标人15人参加</w:t>
      </w:r>
      <w:r>
        <w:rPr>
          <w:sz w:val="21"/>
          <w:szCs w:val="21"/>
        </w:rPr>
        <w:t>。</w:t>
      </w:r>
    </w:p>
    <w:p w14:paraId="1495867A">
      <w:pPr>
        <w:numPr>
          <w:ilvl w:val="0"/>
          <w:numId w:val="35"/>
        </w:numPr>
        <w:adjustRightInd w:val="0"/>
        <w:snapToGrid w:val="0"/>
        <w:rPr>
          <w:sz w:val="21"/>
          <w:szCs w:val="21"/>
        </w:rPr>
      </w:pPr>
      <w:r>
        <w:rPr>
          <w:sz w:val="21"/>
          <w:szCs w:val="21"/>
        </w:rPr>
        <w:t>第</w:t>
      </w:r>
      <w:r>
        <w:rPr>
          <w:rFonts w:hint="eastAsia"/>
          <w:sz w:val="21"/>
          <w:szCs w:val="21"/>
        </w:rPr>
        <w:t>二</w:t>
      </w:r>
      <w:r>
        <w:rPr>
          <w:sz w:val="21"/>
          <w:szCs w:val="21"/>
        </w:rPr>
        <w:t>次联络会议重点讨论功能</w:t>
      </w:r>
      <w:r>
        <w:rPr>
          <w:rFonts w:hint="eastAsia"/>
          <w:sz w:val="21"/>
          <w:szCs w:val="21"/>
        </w:rPr>
        <w:t>，并</w:t>
      </w:r>
      <w:r>
        <w:rPr>
          <w:sz w:val="21"/>
          <w:szCs w:val="21"/>
        </w:rPr>
        <w:t>以技术规范和第一次联络会议确认的有关文件、图纸、标准为基础，完成整个设备</w:t>
      </w:r>
      <w:r>
        <w:rPr>
          <w:rFonts w:hint="eastAsia"/>
          <w:sz w:val="21"/>
          <w:szCs w:val="21"/>
          <w:lang w:eastAsia="zh-CN"/>
        </w:rPr>
        <w:t>规划</w:t>
      </w:r>
      <w:r>
        <w:rPr>
          <w:sz w:val="21"/>
          <w:szCs w:val="21"/>
        </w:rPr>
        <w:t>、设备安装、与有关系统的接口设计制定详细的功能规格书，应包含详细的各系统点表。</w:t>
      </w:r>
    </w:p>
    <w:p w14:paraId="624962F3">
      <w:pPr>
        <w:numPr>
          <w:ilvl w:val="0"/>
          <w:numId w:val="35"/>
        </w:numPr>
        <w:adjustRightInd w:val="0"/>
        <w:snapToGrid w:val="0"/>
        <w:rPr>
          <w:sz w:val="21"/>
          <w:szCs w:val="21"/>
        </w:rPr>
      </w:pPr>
      <w:r>
        <w:rPr>
          <w:rFonts w:hint="eastAsia"/>
          <w:sz w:val="21"/>
          <w:szCs w:val="21"/>
        </w:rPr>
        <w:t>在第二次联络会议前30天，投标人应先提供5份设备的文件、标准、图纸和资料给招标人，以作准备。</w:t>
      </w:r>
      <w:r>
        <w:rPr>
          <w:sz w:val="21"/>
          <w:szCs w:val="21"/>
        </w:rPr>
        <w:t>投标人</w:t>
      </w:r>
      <w:r>
        <w:rPr>
          <w:rFonts w:hint="eastAsia"/>
          <w:sz w:val="21"/>
          <w:szCs w:val="21"/>
        </w:rPr>
        <w:t>提供的</w:t>
      </w:r>
      <w:r>
        <w:rPr>
          <w:sz w:val="21"/>
          <w:szCs w:val="21"/>
        </w:rPr>
        <w:t>图纸</w:t>
      </w:r>
      <w:r>
        <w:rPr>
          <w:rFonts w:hint="eastAsia"/>
          <w:sz w:val="21"/>
          <w:szCs w:val="21"/>
        </w:rPr>
        <w:t>、</w:t>
      </w:r>
      <w:r>
        <w:rPr>
          <w:sz w:val="21"/>
          <w:szCs w:val="21"/>
        </w:rPr>
        <w:t>资料包括但不限于：</w:t>
      </w:r>
    </w:p>
    <w:p w14:paraId="6B3FF414">
      <w:pPr>
        <w:adjustRightInd w:val="0"/>
        <w:snapToGrid w:val="0"/>
        <w:ind w:left="1320" w:leftChars="550"/>
        <w:jc w:val="both"/>
        <w:rPr>
          <w:sz w:val="21"/>
          <w:szCs w:val="21"/>
        </w:rPr>
      </w:pPr>
      <w:r>
        <w:rPr>
          <w:rFonts w:hint="eastAsia"/>
          <w:sz w:val="21"/>
          <w:szCs w:val="21"/>
        </w:rPr>
        <w:t>——</w:t>
      </w:r>
      <w:r>
        <w:rPr>
          <w:sz w:val="21"/>
          <w:szCs w:val="21"/>
        </w:rPr>
        <w:t>以第一次联络会确认的功能规范书和产品、系统</w:t>
      </w:r>
      <w:r>
        <w:rPr>
          <w:rFonts w:hint="eastAsia"/>
          <w:sz w:val="21"/>
          <w:szCs w:val="21"/>
          <w:lang w:eastAsia="zh-CN"/>
        </w:rPr>
        <w:t>规划</w:t>
      </w:r>
      <w:r>
        <w:rPr>
          <w:sz w:val="21"/>
          <w:szCs w:val="21"/>
        </w:rPr>
        <w:t>图、标准为基础的完成优化后的</w:t>
      </w:r>
      <w:r>
        <w:rPr>
          <w:rFonts w:hint="eastAsia"/>
          <w:sz w:val="21"/>
          <w:szCs w:val="21"/>
          <w:lang w:eastAsia="zh-CN"/>
        </w:rPr>
        <w:t>管理云平台</w:t>
      </w:r>
      <w:r>
        <w:rPr>
          <w:sz w:val="21"/>
          <w:szCs w:val="21"/>
        </w:rPr>
        <w:t>的最终</w:t>
      </w:r>
      <w:r>
        <w:rPr>
          <w:rFonts w:hint="eastAsia"/>
          <w:sz w:val="21"/>
          <w:szCs w:val="21"/>
          <w:lang w:eastAsia="zh-CN"/>
        </w:rPr>
        <w:t>规划</w:t>
      </w:r>
      <w:r>
        <w:rPr>
          <w:sz w:val="21"/>
          <w:szCs w:val="21"/>
        </w:rPr>
        <w:t>方案，应包含详细的技术指标、功能说明等；</w:t>
      </w:r>
    </w:p>
    <w:p w14:paraId="7A81AF3B">
      <w:pPr>
        <w:adjustRightInd w:val="0"/>
        <w:snapToGrid w:val="0"/>
        <w:ind w:left="1320" w:leftChars="550"/>
        <w:jc w:val="both"/>
        <w:rPr>
          <w:sz w:val="21"/>
          <w:szCs w:val="21"/>
        </w:rPr>
      </w:pPr>
      <w:r>
        <w:rPr>
          <w:rFonts w:hint="eastAsia"/>
          <w:sz w:val="21"/>
          <w:szCs w:val="21"/>
        </w:rPr>
        <w:t>——</w:t>
      </w:r>
      <w:r>
        <w:rPr>
          <w:sz w:val="21"/>
          <w:szCs w:val="21"/>
        </w:rPr>
        <w:t>对</w:t>
      </w:r>
      <w:r>
        <w:rPr>
          <w:rFonts w:hint="eastAsia"/>
          <w:sz w:val="21"/>
          <w:szCs w:val="21"/>
        </w:rPr>
        <w:t>本项目内外接口</w:t>
      </w:r>
      <w:r>
        <w:rPr>
          <w:sz w:val="21"/>
          <w:szCs w:val="21"/>
        </w:rPr>
        <w:t>的接口设计；</w:t>
      </w:r>
    </w:p>
    <w:p w14:paraId="384D7491">
      <w:pPr>
        <w:adjustRightInd w:val="0"/>
        <w:snapToGrid w:val="0"/>
        <w:ind w:left="1320" w:leftChars="550"/>
        <w:jc w:val="both"/>
        <w:rPr>
          <w:sz w:val="21"/>
          <w:szCs w:val="21"/>
        </w:rPr>
      </w:pPr>
      <w:r>
        <w:rPr>
          <w:rFonts w:hint="eastAsia"/>
          <w:sz w:val="21"/>
          <w:szCs w:val="21"/>
        </w:rPr>
        <w:t>——</w:t>
      </w:r>
      <w:r>
        <w:rPr>
          <w:sz w:val="21"/>
          <w:szCs w:val="21"/>
        </w:rPr>
        <w:t>设备基本布置要求；</w:t>
      </w:r>
    </w:p>
    <w:p w14:paraId="11BBD0A0">
      <w:pPr>
        <w:adjustRightInd w:val="0"/>
        <w:snapToGrid w:val="0"/>
        <w:ind w:left="1321" w:leftChars="550" w:hanging="1"/>
        <w:rPr>
          <w:sz w:val="21"/>
          <w:szCs w:val="21"/>
        </w:rPr>
      </w:pPr>
      <w:r>
        <w:rPr>
          <w:rFonts w:hint="eastAsia"/>
          <w:sz w:val="21"/>
          <w:szCs w:val="21"/>
        </w:rPr>
        <w:t>——</w:t>
      </w:r>
      <w:r>
        <w:rPr>
          <w:sz w:val="21"/>
          <w:szCs w:val="21"/>
        </w:rPr>
        <w:t>测试、检验规范书和技术标准的补充；</w:t>
      </w:r>
    </w:p>
    <w:p w14:paraId="089E2811">
      <w:pPr>
        <w:numPr>
          <w:ilvl w:val="0"/>
          <w:numId w:val="35"/>
        </w:numPr>
        <w:adjustRightInd w:val="0"/>
        <w:snapToGrid w:val="0"/>
        <w:rPr>
          <w:sz w:val="21"/>
          <w:szCs w:val="21"/>
        </w:rPr>
      </w:pPr>
      <w:r>
        <w:rPr>
          <w:rFonts w:hint="eastAsia"/>
          <w:sz w:val="21"/>
          <w:szCs w:val="21"/>
        </w:rPr>
        <w:t>投标人</w:t>
      </w:r>
      <w:r>
        <w:rPr>
          <w:sz w:val="21"/>
          <w:szCs w:val="21"/>
        </w:rPr>
        <w:t>应提供设备的有关标准或补充。</w:t>
      </w:r>
    </w:p>
    <w:p w14:paraId="594D5DC2">
      <w:pPr>
        <w:numPr>
          <w:ilvl w:val="0"/>
          <w:numId w:val="35"/>
        </w:numPr>
        <w:adjustRightInd w:val="0"/>
        <w:snapToGrid w:val="0"/>
        <w:rPr>
          <w:sz w:val="21"/>
          <w:szCs w:val="21"/>
        </w:rPr>
      </w:pPr>
      <w:r>
        <w:rPr>
          <w:rFonts w:hint="eastAsia"/>
          <w:sz w:val="21"/>
          <w:szCs w:val="21"/>
          <w:lang w:eastAsia="zh-CN"/>
        </w:rPr>
        <w:t>技术联络</w:t>
      </w:r>
      <w:r>
        <w:rPr>
          <w:sz w:val="21"/>
          <w:szCs w:val="21"/>
        </w:rPr>
        <w:t>主要内容与责任：</w:t>
      </w:r>
    </w:p>
    <w:p w14:paraId="3F00E704">
      <w:pPr>
        <w:adjustRightInd w:val="0"/>
        <w:snapToGrid w:val="0"/>
        <w:ind w:left="1321" w:leftChars="550" w:hanging="1"/>
        <w:rPr>
          <w:sz w:val="21"/>
          <w:szCs w:val="21"/>
        </w:rPr>
      </w:pPr>
      <w:r>
        <w:rPr>
          <w:rFonts w:hint="eastAsia"/>
          <w:sz w:val="21"/>
          <w:szCs w:val="21"/>
        </w:rPr>
        <w:t>——</w:t>
      </w:r>
      <w:r>
        <w:rPr>
          <w:sz w:val="21"/>
          <w:szCs w:val="21"/>
        </w:rPr>
        <w:t>确认在第一次</w:t>
      </w:r>
      <w:r>
        <w:rPr>
          <w:rFonts w:hint="eastAsia"/>
          <w:sz w:val="21"/>
          <w:szCs w:val="21"/>
          <w:lang w:eastAsia="zh-CN"/>
        </w:rPr>
        <w:t>技术联络</w:t>
      </w:r>
      <w:r>
        <w:rPr>
          <w:sz w:val="21"/>
          <w:szCs w:val="21"/>
        </w:rPr>
        <w:t>上确定的双方互提资料；</w:t>
      </w:r>
    </w:p>
    <w:p w14:paraId="7111554A">
      <w:pPr>
        <w:adjustRightInd w:val="0"/>
        <w:snapToGrid w:val="0"/>
        <w:ind w:left="1321" w:leftChars="550" w:hanging="1"/>
        <w:rPr>
          <w:sz w:val="21"/>
          <w:szCs w:val="21"/>
        </w:rPr>
      </w:pPr>
      <w:r>
        <w:rPr>
          <w:rFonts w:hint="eastAsia"/>
          <w:sz w:val="21"/>
          <w:szCs w:val="21"/>
        </w:rPr>
        <w:t>——</w:t>
      </w:r>
      <w:r>
        <w:rPr>
          <w:sz w:val="21"/>
          <w:szCs w:val="21"/>
        </w:rPr>
        <w:t>确认投标人补充提供的技术资料，图纸和其它资料；</w:t>
      </w:r>
    </w:p>
    <w:p w14:paraId="44A1CB10">
      <w:pPr>
        <w:adjustRightInd w:val="0"/>
        <w:snapToGrid w:val="0"/>
        <w:ind w:left="1321" w:leftChars="550" w:hanging="1"/>
        <w:rPr>
          <w:sz w:val="21"/>
          <w:szCs w:val="21"/>
        </w:rPr>
      </w:pPr>
      <w:r>
        <w:rPr>
          <w:rFonts w:hint="eastAsia"/>
          <w:sz w:val="21"/>
          <w:szCs w:val="21"/>
        </w:rPr>
        <w:t>——</w:t>
      </w:r>
      <w:r>
        <w:rPr>
          <w:sz w:val="21"/>
          <w:szCs w:val="21"/>
        </w:rPr>
        <w:t>确认设备板卡的性能，设备尺寸、机柜的颜色、位置；</w:t>
      </w:r>
    </w:p>
    <w:p w14:paraId="15FCC295">
      <w:pPr>
        <w:adjustRightInd w:val="0"/>
        <w:snapToGrid w:val="0"/>
        <w:ind w:left="1321" w:leftChars="550" w:hanging="1"/>
        <w:rPr>
          <w:sz w:val="21"/>
          <w:szCs w:val="21"/>
        </w:rPr>
      </w:pPr>
      <w:r>
        <w:rPr>
          <w:rFonts w:hint="eastAsia"/>
          <w:sz w:val="21"/>
          <w:szCs w:val="21"/>
        </w:rPr>
        <w:t>——</w:t>
      </w:r>
      <w:r>
        <w:rPr>
          <w:sz w:val="21"/>
          <w:szCs w:val="21"/>
        </w:rPr>
        <w:t>确认设备的电源及接地；</w:t>
      </w:r>
    </w:p>
    <w:p w14:paraId="1B56478A">
      <w:pPr>
        <w:adjustRightInd w:val="0"/>
        <w:snapToGrid w:val="0"/>
        <w:ind w:left="1321" w:leftChars="550" w:hanging="1"/>
        <w:rPr>
          <w:sz w:val="21"/>
          <w:szCs w:val="21"/>
        </w:rPr>
      </w:pPr>
      <w:r>
        <w:rPr>
          <w:rFonts w:hint="eastAsia"/>
          <w:sz w:val="21"/>
          <w:szCs w:val="21"/>
        </w:rPr>
        <w:t>——</w:t>
      </w:r>
      <w:r>
        <w:rPr>
          <w:sz w:val="21"/>
          <w:szCs w:val="21"/>
        </w:rPr>
        <w:t>进一步确认各接口细则及与其他系统的配线，确认与配线架的连接、端子</w:t>
      </w:r>
    </w:p>
    <w:p w14:paraId="23635713">
      <w:pPr>
        <w:adjustRightInd w:val="0"/>
        <w:snapToGrid w:val="0"/>
        <w:ind w:left="1320" w:leftChars="550" w:firstLine="420" w:firstLineChars="200"/>
        <w:rPr>
          <w:sz w:val="21"/>
          <w:szCs w:val="21"/>
        </w:rPr>
      </w:pPr>
      <w:r>
        <w:rPr>
          <w:sz w:val="21"/>
          <w:szCs w:val="21"/>
        </w:rPr>
        <w:t>分配；</w:t>
      </w:r>
    </w:p>
    <w:p w14:paraId="3839722B">
      <w:pPr>
        <w:adjustRightInd w:val="0"/>
        <w:snapToGrid w:val="0"/>
        <w:ind w:left="1321" w:leftChars="550" w:hanging="1"/>
        <w:rPr>
          <w:sz w:val="21"/>
          <w:szCs w:val="21"/>
        </w:rPr>
      </w:pPr>
      <w:r>
        <w:rPr>
          <w:rFonts w:hint="eastAsia"/>
          <w:sz w:val="21"/>
          <w:szCs w:val="21"/>
        </w:rPr>
        <w:t>——</w:t>
      </w:r>
      <w:r>
        <w:rPr>
          <w:sz w:val="21"/>
          <w:szCs w:val="21"/>
        </w:rPr>
        <w:t>确认测试检验项目测试手段及指标；</w:t>
      </w:r>
    </w:p>
    <w:p w14:paraId="633C8FD9">
      <w:pPr>
        <w:adjustRightInd w:val="0"/>
        <w:snapToGrid w:val="0"/>
        <w:ind w:left="1321" w:leftChars="550" w:hanging="1"/>
        <w:rPr>
          <w:sz w:val="21"/>
          <w:szCs w:val="21"/>
        </w:rPr>
      </w:pPr>
      <w:r>
        <w:rPr>
          <w:rFonts w:hint="eastAsia"/>
          <w:sz w:val="21"/>
          <w:szCs w:val="21"/>
        </w:rPr>
        <w:t>——</w:t>
      </w:r>
      <w:r>
        <w:rPr>
          <w:sz w:val="21"/>
          <w:szCs w:val="21"/>
        </w:rPr>
        <w:t>进一步确认网管的配置及功能；</w:t>
      </w:r>
    </w:p>
    <w:p w14:paraId="3D985F66">
      <w:pPr>
        <w:adjustRightInd w:val="0"/>
        <w:snapToGrid w:val="0"/>
        <w:ind w:left="1321" w:leftChars="550" w:hanging="1"/>
        <w:rPr>
          <w:sz w:val="21"/>
          <w:szCs w:val="21"/>
        </w:rPr>
      </w:pPr>
      <w:r>
        <w:rPr>
          <w:rFonts w:hint="eastAsia"/>
          <w:sz w:val="21"/>
          <w:szCs w:val="21"/>
        </w:rPr>
        <w:t>——</w:t>
      </w:r>
      <w:r>
        <w:rPr>
          <w:sz w:val="21"/>
          <w:szCs w:val="21"/>
        </w:rPr>
        <w:t>确认系统软硬件的设置及修改；</w:t>
      </w:r>
    </w:p>
    <w:p w14:paraId="53DAB4E8">
      <w:pPr>
        <w:adjustRightInd w:val="0"/>
        <w:snapToGrid w:val="0"/>
        <w:ind w:left="1321" w:leftChars="550" w:hanging="1"/>
        <w:rPr>
          <w:sz w:val="21"/>
          <w:szCs w:val="21"/>
        </w:rPr>
      </w:pPr>
      <w:r>
        <w:rPr>
          <w:rFonts w:hint="eastAsia"/>
          <w:sz w:val="21"/>
          <w:szCs w:val="21"/>
        </w:rPr>
        <w:t>——</w:t>
      </w:r>
      <w:r>
        <w:rPr>
          <w:sz w:val="21"/>
          <w:szCs w:val="21"/>
        </w:rPr>
        <w:t>进一步确认测试、检验规范书和技术标准；</w:t>
      </w:r>
    </w:p>
    <w:p w14:paraId="16F15A63">
      <w:pPr>
        <w:adjustRightInd w:val="0"/>
        <w:snapToGrid w:val="0"/>
        <w:ind w:left="1321" w:leftChars="550" w:hanging="1"/>
        <w:rPr>
          <w:sz w:val="21"/>
          <w:szCs w:val="21"/>
        </w:rPr>
      </w:pPr>
      <w:r>
        <w:rPr>
          <w:rFonts w:hint="eastAsia"/>
          <w:sz w:val="21"/>
          <w:szCs w:val="21"/>
        </w:rPr>
        <w:t>——</w:t>
      </w:r>
      <w:r>
        <w:rPr>
          <w:sz w:val="21"/>
          <w:szCs w:val="21"/>
        </w:rPr>
        <w:t>确认系统的最终配置；</w:t>
      </w:r>
    </w:p>
    <w:p w14:paraId="58FBB570">
      <w:pPr>
        <w:adjustRightInd w:val="0"/>
        <w:snapToGrid w:val="0"/>
        <w:ind w:left="1321" w:leftChars="550" w:hanging="1"/>
        <w:rPr>
          <w:sz w:val="21"/>
          <w:szCs w:val="21"/>
        </w:rPr>
      </w:pPr>
      <w:r>
        <w:rPr>
          <w:rFonts w:hint="eastAsia"/>
          <w:sz w:val="21"/>
          <w:szCs w:val="21"/>
        </w:rPr>
        <w:t>——</w:t>
      </w:r>
      <w:r>
        <w:rPr>
          <w:sz w:val="21"/>
          <w:szCs w:val="21"/>
        </w:rPr>
        <w:t>讨论有关试验问题和技术培训；</w:t>
      </w:r>
    </w:p>
    <w:p w14:paraId="050071A7">
      <w:pPr>
        <w:adjustRightInd w:val="0"/>
        <w:snapToGrid w:val="0"/>
        <w:ind w:left="1321" w:leftChars="550" w:hanging="1"/>
        <w:rPr>
          <w:sz w:val="21"/>
          <w:szCs w:val="21"/>
        </w:rPr>
      </w:pPr>
      <w:r>
        <w:rPr>
          <w:rFonts w:hint="eastAsia"/>
          <w:sz w:val="21"/>
          <w:szCs w:val="21"/>
        </w:rPr>
        <w:t>——</w:t>
      </w:r>
      <w:r>
        <w:rPr>
          <w:sz w:val="21"/>
          <w:szCs w:val="21"/>
        </w:rPr>
        <w:t>讨论</w:t>
      </w:r>
      <w:r>
        <w:rPr>
          <w:rFonts w:hint="eastAsia"/>
          <w:sz w:val="21"/>
          <w:szCs w:val="21"/>
          <w:lang w:eastAsia="zh-CN"/>
        </w:rPr>
        <w:t>部署</w:t>
      </w:r>
      <w:r>
        <w:rPr>
          <w:sz w:val="21"/>
          <w:szCs w:val="21"/>
        </w:rPr>
        <w:t>计划和程序。</w:t>
      </w:r>
    </w:p>
    <w:p w14:paraId="1ABA92CC">
      <w:pPr>
        <w:numPr>
          <w:ilvl w:val="0"/>
          <w:numId w:val="35"/>
        </w:numPr>
        <w:adjustRightInd w:val="0"/>
        <w:snapToGrid w:val="0"/>
        <w:rPr>
          <w:sz w:val="21"/>
          <w:szCs w:val="21"/>
        </w:rPr>
      </w:pPr>
      <w:r>
        <w:rPr>
          <w:sz w:val="21"/>
          <w:szCs w:val="21"/>
        </w:rPr>
        <w:t>招标人和投标人参加讨论并确认功能规格、设备标准、</w:t>
      </w:r>
      <w:r>
        <w:rPr>
          <w:rFonts w:hint="eastAsia"/>
          <w:sz w:val="21"/>
          <w:szCs w:val="21"/>
          <w:lang w:eastAsia="zh-CN"/>
        </w:rPr>
        <w:t>技术</w:t>
      </w:r>
      <w:r>
        <w:rPr>
          <w:sz w:val="21"/>
          <w:szCs w:val="21"/>
        </w:rPr>
        <w:t>文件、检验程序和有关设备技术，但并不减轻投标人对合同项目所负的责任。</w:t>
      </w:r>
    </w:p>
    <w:p w14:paraId="76162A9D">
      <w:pPr>
        <w:pStyle w:val="1221"/>
        <w:jc w:val="both"/>
        <w:rPr>
          <w:szCs w:val="21"/>
        </w:rPr>
      </w:pPr>
      <w:bookmarkStart w:id="1083" w:name="_Toc144523627"/>
      <w:bookmarkStart w:id="1084" w:name="_Toc182030060"/>
      <w:r>
        <w:rPr>
          <w:szCs w:val="21"/>
        </w:rPr>
        <w:t>工作协调会议</w:t>
      </w:r>
      <w:bookmarkEnd w:id="1083"/>
      <w:bookmarkEnd w:id="1084"/>
    </w:p>
    <w:p w14:paraId="14E012EA">
      <w:pPr>
        <w:adjustRightInd w:val="0"/>
        <w:snapToGrid w:val="0"/>
        <w:ind w:left="960"/>
        <w:rPr>
          <w:sz w:val="21"/>
          <w:szCs w:val="21"/>
        </w:rPr>
      </w:pPr>
      <w:r>
        <w:rPr>
          <w:sz w:val="21"/>
          <w:szCs w:val="21"/>
        </w:rPr>
        <w:t>除合同规定的</w:t>
      </w:r>
      <w:r>
        <w:rPr>
          <w:rFonts w:hint="eastAsia"/>
          <w:sz w:val="21"/>
          <w:szCs w:val="21"/>
          <w:lang w:eastAsia="zh-CN"/>
        </w:rPr>
        <w:t>技术</w:t>
      </w:r>
      <w:r>
        <w:rPr>
          <w:sz w:val="21"/>
          <w:szCs w:val="21"/>
        </w:rPr>
        <w:t>联络会外，如有必要时，招标人有权召集有关各方举行工作协调会（一般在南宁）。投标人</w:t>
      </w:r>
      <w:r>
        <w:rPr>
          <w:rFonts w:hint="eastAsia"/>
          <w:sz w:val="21"/>
          <w:szCs w:val="21"/>
        </w:rPr>
        <w:t>须</w:t>
      </w:r>
      <w:r>
        <w:rPr>
          <w:sz w:val="21"/>
          <w:szCs w:val="21"/>
        </w:rPr>
        <w:t>按时参加，费用自理。</w:t>
      </w:r>
    </w:p>
    <w:p w14:paraId="674811AA">
      <w:pPr>
        <w:pStyle w:val="5"/>
        <w:rPr>
          <w:color w:val="auto"/>
          <w:szCs w:val="21"/>
        </w:rPr>
      </w:pPr>
      <w:r>
        <w:rPr>
          <w:rFonts w:hint="eastAsia"/>
          <w:color w:val="auto"/>
          <w:szCs w:val="21"/>
          <w:lang w:eastAsia="zh-CN"/>
        </w:rPr>
        <w:t>技术联络</w:t>
      </w:r>
      <w:r>
        <w:rPr>
          <w:color w:val="auto"/>
          <w:szCs w:val="21"/>
        </w:rPr>
        <w:t>输出文件</w:t>
      </w:r>
    </w:p>
    <w:p w14:paraId="2E41BCB0">
      <w:pPr>
        <w:adjustRightInd w:val="0"/>
        <w:snapToGrid w:val="0"/>
        <w:ind w:left="960"/>
        <w:rPr>
          <w:sz w:val="21"/>
          <w:szCs w:val="21"/>
        </w:rPr>
      </w:pPr>
      <w:r>
        <w:rPr>
          <w:sz w:val="21"/>
          <w:szCs w:val="21"/>
        </w:rPr>
        <w:t>在</w:t>
      </w:r>
      <w:r>
        <w:rPr>
          <w:rFonts w:hint="eastAsia"/>
          <w:sz w:val="21"/>
          <w:szCs w:val="21"/>
          <w:lang w:eastAsia="zh-CN"/>
        </w:rPr>
        <w:t>技术</w:t>
      </w:r>
      <w:r>
        <w:rPr>
          <w:sz w:val="21"/>
          <w:szCs w:val="21"/>
        </w:rPr>
        <w:t>联络结束后，投标人根据会议精神整理</w:t>
      </w:r>
      <w:r>
        <w:rPr>
          <w:rFonts w:hint="eastAsia"/>
          <w:sz w:val="21"/>
          <w:szCs w:val="21"/>
          <w:lang w:eastAsia="zh-CN"/>
        </w:rPr>
        <w:t>技术</w:t>
      </w:r>
      <w:r>
        <w:rPr>
          <w:sz w:val="21"/>
          <w:szCs w:val="21"/>
        </w:rPr>
        <w:t>联络文件及图纸，输出的文件资料包括但不限于：</w:t>
      </w:r>
    </w:p>
    <w:p w14:paraId="3FD3BDB4">
      <w:pPr>
        <w:pStyle w:val="1221"/>
        <w:jc w:val="both"/>
        <w:rPr>
          <w:szCs w:val="21"/>
        </w:rPr>
      </w:pPr>
      <w:r>
        <w:rPr>
          <w:szCs w:val="21"/>
        </w:rPr>
        <w:t>系统设备的最终功能规格书；</w:t>
      </w:r>
    </w:p>
    <w:p w14:paraId="280D88ED">
      <w:pPr>
        <w:numPr>
          <w:ilvl w:val="0"/>
          <w:numId w:val="35"/>
        </w:numPr>
        <w:adjustRightInd w:val="0"/>
        <w:snapToGrid w:val="0"/>
        <w:rPr>
          <w:sz w:val="21"/>
          <w:szCs w:val="21"/>
        </w:rPr>
      </w:pPr>
      <w:r>
        <w:rPr>
          <w:rFonts w:hint="eastAsia"/>
          <w:sz w:val="21"/>
          <w:szCs w:val="21"/>
        </w:rPr>
        <w:t>已</w:t>
      </w:r>
      <w:r>
        <w:rPr>
          <w:sz w:val="21"/>
          <w:szCs w:val="21"/>
        </w:rPr>
        <w:t>确认的功能规格书和产品、系统</w:t>
      </w:r>
      <w:r>
        <w:rPr>
          <w:rFonts w:hint="eastAsia"/>
          <w:sz w:val="21"/>
          <w:szCs w:val="21"/>
          <w:lang w:eastAsia="zh-CN"/>
        </w:rPr>
        <w:t>规划</w:t>
      </w:r>
      <w:r>
        <w:rPr>
          <w:sz w:val="21"/>
          <w:szCs w:val="21"/>
        </w:rPr>
        <w:t>图、标准为基础的，</w:t>
      </w:r>
      <w:r>
        <w:rPr>
          <w:rFonts w:hint="eastAsia"/>
          <w:sz w:val="21"/>
          <w:szCs w:val="21"/>
        </w:rPr>
        <w:t>本项目</w:t>
      </w:r>
      <w:r>
        <w:rPr>
          <w:sz w:val="21"/>
          <w:szCs w:val="21"/>
        </w:rPr>
        <w:t>最终安装</w:t>
      </w:r>
      <w:r>
        <w:rPr>
          <w:rFonts w:hint="eastAsia"/>
          <w:sz w:val="21"/>
          <w:szCs w:val="21"/>
          <w:lang w:eastAsia="zh-CN"/>
        </w:rPr>
        <w:t>规划</w:t>
      </w:r>
      <w:r>
        <w:rPr>
          <w:sz w:val="21"/>
          <w:szCs w:val="21"/>
        </w:rPr>
        <w:t>文件、图纸，</w:t>
      </w:r>
      <w:r>
        <w:rPr>
          <w:rFonts w:hint="eastAsia"/>
          <w:sz w:val="21"/>
          <w:szCs w:val="21"/>
        </w:rPr>
        <w:t>以及</w:t>
      </w:r>
      <w:r>
        <w:rPr>
          <w:sz w:val="21"/>
          <w:szCs w:val="21"/>
        </w:rPr>
        <w:t>有关系统的接口设计文件；</w:t>
      </w:r>
    </w:p>
    <w:p w14:paraId="2B2ED83A">
      <w:pPr>
        <w:numPr>
          <w:ilvl w:val="0"/>
          <w:numId w:val="35"/>
        </w:numPr>
        <w:adjustRightInd w:val="0"/>
        <w:snapToGrid w:val="0"/>
        <w:rPr>
          <w:sz w:val="21"/>
          <w:szCs w:val="21"/>
        </w:rPr>
      </w:pPr>
      <w:r>
        <w:rPr>
          <w:sz w:val="21"/>
          <w:szCs w:val="21"/>
        </w:rPr>
        <w:t>测试、检验规范书和技术标准的补充；</w:t>
      </w:r>
    </w:p>
    <w:p w14:paraId="106A867B">
      <w:pPr>
        <w:numPr>
          <w:ilvl w:val="0"/>
          <w:numId w:val="35"/>
        </w:numPr>
        <w:adjustRightInd w:val="0"/>
        <w:snapToGrid w:val="0"/>
        <w:rPr>
          <w:sz w:val="21"/>
          <w:szCs w:val="21"/>
        </w:rPr>
      </w:pPr>
      <w:r>
        <w:rPr>
          <w:sz w:val="21"/>
          <w:szCs w:val="21"/>
        </w:rPr>
        <w:t>各系统设备的功耗、散热及要求；</w:t>
      </w:r>
    </w:p>
    <w:p w14:paraId="067DC457">
      <w:pPr>
        <w:numPr>
          <w:ilvl w:val="0"/>
          <w:numId w:val="35"/>
        </w:numPr>
        <w:adjustRightInd w:val="0"/>
        <w:snapToGrid w:val="0"/>
        <w:rPr>
          <w:sz w:val="21"/>
          <w:szCs w:val="21"/>
        </w:rPr>
      </w:pPr>
      <w:r>
        <w:rPr>
          <w:sz w:val="21"/>
          <w:szCs w:val="21"/>
        </w:rPr>
        <w:t>所有设备的尺寸、重量和柜门位置；</w:t>
      </w:r>
    </w:p>
    <w:p w14:paraId="7E656048">
      <w:pPr>
        <w:numPr>
          <w:ilvl w:val="0"/>
          <w:numId w:val="35"/>
        </w:numPr>
        <w:adjustRightInd w:val="0"/>
        <w:snapToGrid w:val="0"/>
        <w:rPr>
          <w:sz w:val="21"/>
          <w:szCs w:val="21"/>
        </w:rPr>
      </w:pPr>
      <w:r>
        <w:rPr>
          <w:sz w:val="21"/>
          <w:szCs w:val="21"/>
        </w:rPr>
        <w:t>所有设备的电缆入口和</w:t>
      </w:r>
      <w:r>
        <w:rPr>
          <w:rFonts w:hint="eastAsia"/>
          <w:sz w:val="21"/>
          <w:szCs w:val="21"/>
        </w:rPr>
        <w:t>对</w:t>
      </w:r>
      <w:r>
        <w:rPr>
          <w:sz w:val="21"/>
          <w:szCs w:val="21"/>
        </w:rPr>
        <w:t>电缆槽</w:t>
      </w:r>
      <w:r>
        <w:rPr>
          <w:rFonts w:hint="eastAsia"/>
          <w:sz w:val="21"/>
          <w:szCs w:val="21"/>
        </w:rPr>
        <w:t>/走线架</w:t>
      </w:r>
      <w:r>
        <w:rPr>
          <w:sz w:val="21"/>
          <w:szCs w:val="21"/>
        </w:rPr>
        <w:t>的要求；</w:t>
      </w:r>
    </w:p>
    <w:p w14:paraId="217990A7">
      <w:pPr>
        <w:numPr>
          <w:ilvl w:val="0"/>
          <w:numId w:val="35"/>
        </w:numPr>
        <w:adjustRightInd w:val="0"/>
        <w:snapToGrid w:val="0"/>
        <w:rPr>
          <w:sz w:val="21"/>
          <w:szCs w:val="21"/>
        </w:rPr>
      </w:pPr>
      <w:r>
        <w:rPr>
          <w:sz w:val="21"/>
          <w:szCs w:val="21"/>
        </w:rPr>
        <w:t>设备安装手册，包括所有设备的安装方法、要求</w:t>
      </w:r>
      <w:r>
        <w:rPr>
          <w:rFonts w:hint="eastAsia"/>
          <w:sz w:val="21"/>
          <w:szCs w:val="21"/>
        </w:rPr>
        <w:t>，带安装大样图</w:t>
      </w:r>
      <w:r>
        <w:rPr>
          <w:sz w:val="21"/>
          <w:szCs w:val="21"/>
        </w:rPr>
        <w:t>；</w:t>
      </w:r>
    </w:p>
    <w:p w14:paraId="25E60A42">
      <w:pPr>
        <w:numPr>
          <w:ilvl w:val="0"/>
          <w:numId w:val="35"/>
        </w:numPr>
        <w:adjustRightInd w:val="0"/>
        <w:snapToGrid w:val="0"/>
        <w:rPr>
          <w:sz w:val="21"/>
          <w:szCs w:val="21"/>
        </w:rPr>
      </w:pPr>
      <w:r>
        <w:rPr>
          <w:sz w:val="21"/>
          <w:szCs w:val="21"/>
        </w:rPr>
        <w:t>各种设备的详细说明书，包含技术指标、功能说明、工作原理及附图和详细的设备布线图及配线型号；</w:t>
      </w:r>
    </w:p>
    <w:p w14:paraId="267C0583">
      <w:pPr>
        <w:numPr>
          <w:ilvl w:val="0"/>
          <w:numId w:val="35"/>
        </w:numPr>
        <w:adjustRightInd w:val="0"/>
        <w:snapToGrid w:val="0"/>
        <w:rPr>
          <w:sz w:val="21"/>
          <w:szCs w:val="21"/>
        </w:rPr>
      </w:pPr>
      <w:r>
        <w:rPr>
          <w:sz w:val="21"/>
          <w:szCs w:val="21"/>
        </w:rPr>
        <w:t>本系统设备与其他系统设备之间的接口及标准；</w:t>
      </w:r>
    </w:p>
    <w:p w14:paraId="3EDCFEE4">
      <w:pPr>
        <w:numPr>
          <w:ilvl w:val="0"/>
          <w:numId w:val="35"/>
        </w:numPr>
        <w:adjustRightInd w:val="0"/>
        <w:snapToGrid w:val="0"/>
        <w:rPr>
          <w:sz w:val="21"/>
          <w:szCs w:val="21"/>
        </w:rPr>
      </w:pPr>
      <w:r>
        <w:rPr>
          <w:sz w:val="21"/>
          <w:szCs w:val="21"/>
        </w:rPr>
        <w:t>系统构成图、机架盘面布置图、接口板的端口配线图</w:t>
      </w:r>
      <w:r>
        <w:rPr>
          <w:rFonts w:hint="eastAsia"/>
          <w:sz w:val="21"/>
          <w:szCs w:val="21"/>
        </w:rPr>
        <w:t>（表）</w:t>
      </w:r>
      <w:r>
        <w:rPr>
          <w:sz w:val="21"/>
          <w:szCs w:val="21"/>
        </w:rPr>
        <w:t>；</w:t>
      </w:r>
    </w:p>
    <w:p w14:paraId="33FB14C6">
      <w:pPr>
        <w:numPr>
          <w:ilvl w:val="0"/>
          <w:numId w:val="35"/>
        </w:numPr>
        <w:adjustRightInd w:val="0"/>
        <w:snapToGrid w:val="0"/>
        <w:rPr>
          <w:sz w:val="21"/>
          <w:szCs w:val="21"/>
        </w:rPr>
      </w:pPr>
      <w:r>
        <w:rPr>
          <w:sz w:val="21"/>
          <w:szCs w:val="21"/>
        </w:rPr>
        <w:t>设备的接地要求。</w:t>
      </w:r>
    </w:p>
    <w:p w14:paraId="4D7BDD8F">
      <w:pPr>
        <w:pStyle w:val="5"/>
        <w:rPr>
          <w:color w:val="auto"/>
          <w:szCs w:val="21"/>
        </w:rPr>
      </w:pPr>
      <w:r>
        <w:rPr>
          <w:rFonts w:hint="eastAsia"/>
          <w:color w:val="auto"/>
          <w:szCs w:val="21"/>
        </w:rPr>
        <w:t>对于</w:t>
      </w:r>
      <w:r>
        <w:rPr>
          <w:color w:val="auto"/>
          <w:szCs w:val="21"/>
        </w:rPr>
        <w:t>与其它各系统的</w:t>
      </w:r>
      <w:r>
        <w:rPr>
          <w:rFonts w:hint="eastAsia"/>
          <w:color w:val="auto"/>
          <w:szCs w:val="21"/>
          <w:lang w:eastAsia="zh-CN"/>
        </w:rPr>
        <w:t>技术联络</w:t>
      </w:r>
      <w:r>
        <w:rPr>
          <w:rFonts w:hint="eastAsia"/>
          <w:color w:val="auto"/>
          <w:szCs w:val="21"/>
        </w:rPr>
        <w:t>，当涉及</w:t>
      </w:r>
      <w:r>
        <w:rPr>
          <w:color w:val="auto"/>
          <w:szCs w:val="21"/>
        </w:rPr>
        <w:t>重大问题</w:t>
      </w:r>
      <w:r>
        <w:rPr>
          <w:rFonts w:hint="eastAsia"/>
          <w:color w:val="auto"/>
          <w:szCs w:val="21"/>
        </w:rPr>
        <w:t>时，</w:t>
      </w:r>
      <w:r>
        <w:rPr>
          <w:color w:val="auto"/>
          <w:szCs w:val="21"/>
        </w:rPr>
        <w:t>招标人代表有权提出异议，投标人应及时予以澄清，但招标人不承担任何技术责任。</w:t>
      </w:r>
    </w:p>
    <w:p w14:paraId="23365C5B">
      <w:pPr>
        <w:pStyle w:val="5"/>
        <w:rPr>
          <w:color w:val="auto"/>
          <w:szCs w:val="21"/>
        </w:rPr>
      </w:pPr>
      <w:r>
        <w:rPr>
          <w:color w:val="auto"/>
          <w:szCs w:val="21"/>
        </w:rPr>
        <w:t>招标人和</w:t>
      </w:r>
      <w:r>
        <w:rPr>
          <w:rFonts w:hint="eastAsia"/>
          <w:color w:val="auto"/>
          <w:szCs w:val="21"/>
        </w:rPr>
        <w:t>投标人</w:t>
      </w:r>
      <w:r>
        <w:rPr>
          <w:color w:val="auto"/>
          <w:szCs w:val="21"/>
        </w:rPr>
        <w:t>参加讨论并确认</w:t>
      </w:r>
      <w:r>
        <w:rPr>
          <w:rFonts w:hint="eastAsia"/>
          <w:color w:val="auto"/>
          <w:szCs w:val="21"/>
        </w:rPr>
        <w:t>本项目系统</w:t>
      </w:r>
      <w:r>
        <w:rPr>
          <w:color w:val="auto"/>
          <w:szCs w:val="21"/>
        </w:rPr>
        <w:t>功能规格、系统</w:t>
      </w:r>
      <w:r>
        <w:rPr>
          <w:rFonts w:hint="eastAsia"/>
          <w:color w:val="auto"/>
          <w:szCs w:val="21"/>
          <w:lang w:eastAsia="zh-CN"/>
        </w:rPr>
        <w:t>规划</w:t>
      </w:r>
      <w:r>
        <w:rPr>
          <w:color w:val="auto"/>
          <w:szCs w:val="21"/>
        </w:rPr>
        <w:t>、接口设计、系统标准、测试检验规范书等，但并不减轻投标人对合同项目所负的责任。</w:t>
      </w:r>
    </w:p>
    <w:p w14:paraId="5BB7D6E6">
      <w:pPr>
        <w:pStyle w:val="4"/>
        <w:rPr>
          <w:sz w:val="21"/>
          <w:szCs w:val="21"/>
        </w:rPr>
      </w:pPr>
      <w:bookmarkStart w:id="1085" w:name="_Toc15375"/>
      <w:r>
        <w:rPr>
          <w:rFonts w:hint="eastAsia"/>
          <w:sz w:val="21"/>
          <w:szCs w:val="21"/>
          <w:lang w:eastAsia="zh-CN"/>
        </w:rPr>
        <w:t>技术联络</w:t>
      </w:r>
      <w:r>
        <w:rPr>
          <w:rFonts w:hint="eastAsia"/>
          <w:sz w:val="21"/>
          <w:szCs w:val="21"/>
        </w:rPr>
        <w:t>工作中的考察项目</w:t>
      </w:r>
      <w:bookmarkEnd w:id="1085"/>
    </w:p>
    <w:p w14:paraId="4EFD99BE">
      <w:pPr>
        <w:pStyle w:val="5"/>
        <w:rPr>
          <w:color w:val="auto"/>
          <w:szCs w:val="21"/>
        </w:rPr>
      </w:pPr>
      <w:bookmarkStart w:id="1086" w:name="_Toc352056386"/>
      <w:bookmarkStart w:id="1087" w:name="_Toc218147658"/>
      <w:bookmarkStart w:id="1088" w:name="_Toc128141551"/>
      <w:bookmarkStart w:id="1089" w:name="_Toc212870019"/>
      <w:bookmarkStart w:id="1090" w:name="_Toc234326874"/>
      <w:bookmarkStart w:id="1091" w:name="_Toc217105833"/>
      <w:bookmarkStart w:id="1092" w:name="_Toc234326338"/>
      <w:bookmarkStart w:id="1093" w:name="_Toc212875173"/>
      <w:bookmarkStart w:id="1094" w:name="_Toc130291630"/>
      <w:bookmarkStart w:id="1095" w:name="_Toc218145864"/>
      <w:bookmarkStart w:id="1096" w:name="_Toc218144229"/>
      <w:bookmarkStart w:id="1097" w:name="_Toc128223355"/>
      <w:bookmarkStart w:id="1098" w:name="_Toc259981603"/>
      <w:bookmarkStart w:id="1099" w:name="_Toc212872661"/>
      <w:bookmarkStart w:id="1100" w:name="_Toc213477567"/>
      <w:bookmarkStart w:id="1101" w:name="_Toc234326070"/>
      <w:bookmarkStart w:id="1102" w:name="_Toc128137890"/>
      <w:bookmarkStart w:id="1103" w:name="_Toc214704518"/>
      <w:bookmarkStart w:id="1104" w:name="_Toc128139674"/>
      <w:bookmarkStart w:id="1105" w:name="_Toc128121015"/>
      <w:bookmarkStart w:id="1106" w:name="_Toc218143939"/>
      <w:bookmarkStart w:id="1107" w:name="_Toc128139393"/>
      <w:bookmarkStart w:id="1108" w:name="_Toc218144731"/>
      <w:bookmarkStart w:id="1109" w:name="_Toc231185235"/>
      <w:bookmarkStart w:id="1110" w:name="_Toc131867959"/>
      <w:bookmarkStart w:id="1111" w:name="_Toc215889529"/>
      <w:bookmarkStart w:id="1112" w:name="_Toc128137474"/>
      <w:bookmarkStart w:id="1113" w:name="_Toc218144480"/>
      <w:bookmarkStart w:id="1114" w:name="_Toc212873981"/>
      <w:bookmarkStart w:id="1115" w:name="_Toc128138769"/>
      <w:bookmarkStart w:id="1116" w:name="_Toc128140649"/>
      <w:bookmarkStart w:id="1117" w:name="_Toc290373432"/>
      <w:bookmarkStart w:id="1118" w:name="_Toc218141278"/>
      <w:bookmarkStart w:id="1119" w:name="_Toc128122985"/>
      <w:bookmarkStart w:id="1120" w:name="_Toc218143508"/>
      <w:bookmarkStart w:id="1121" w:name="_Toc218141997"/>
      <w:bookmarkStart w:id="1122" w:name="_Toc215885616"/>
      <w:bookmarkStart w:id="1123" w:name="_Toc128141252"/>
      <w:bookmarkStart w:id="1124" w:name="_Toc218145282"/>
      <w:bookmarkStart w:id="1125" w:name="_Toc128138152"/>
      <w:bookmarkStart w:id="1126" w:name="_Toc128139180"/>
      <w:bookmarkStart w:id="1127" w:name="_Toc213477321"/>
      <w:bookmarkStart w:id="1128" w:name="_Toc213407916"/>
      <w:bookmarkStart w:id="1129" w:name="_Toc128138398"/>
      <w:bookmarkStart w:id="1130" w:name="_Toc234326606"/>
      <w:bookmarkStart w:id="1131" w:name="_Toc128141074"/>
      <w:bookmarkStart w:id="1132" w:name="_Toc218141746"/>
      <w:bookmarkStart w:id="1133" w:name="_Toc218142248"/>
      <w:bookmarkStart w:id="1134" w:name="_Toc218144982"/>
      <w:bookmarkStart w:id="1135" w:name="_Toc218147407"/>
      <w:bookmarkStart w:id="1136" w:name="_Toc214704020"/>
      <w:bookmarkStart w:id="1137" w:name="_Toc214704269"/>
      <w:bookmarkStart w:id="1138" w:name="_Toc237702976"/>
      <w:r>
        <w:rPr>
          <w:rFonts w:hint="eastAsia"/>
          <w:color w:val="auto"/>
          <w:szCs w:val="21"/>
          <w:lang w:eastAsia="zh-CN"/>
        </w:rPr>
        <w:t>技术联络</w:t>
      </w:r>
      <w:r>
        <w:rPr>
          <w:rFonts w:hint="eastAsia"/>
          <w:color w:val="auto"/>
          <w:szCs w:val="21"/>
        </w:rPr>
        <w:t>期间将根据需要考察投标人或系统的设备制造厂（包括境外，若有）。投标人不得以任何理由拒绝招标人的考察要求，并承担本项目所供设备相关的一切考察费用。</w:t>
      </w:r>
    </w:p>
    <w:p w14:paraId="1BD675F4">
      <w:pPr>
        <w:pStyle w:val="4"/>
        <w:rPr>
          <w:sz w:val="21"/>
          <w:szCs w:val="21"/>
        </w:rPr>
      </w:pPr>
      <w:bookmarkStart w:id="1139" w:name="_Toc1256"/>
      <w:r>
        <w:rPr>
          <w:rFonts w:hint="eastAsia"/>
          <w:sz w:val="21"/>
          <w:szCs w:val="21"/>
          <w:lang w:eastAsia="zh-CN"/>
        </w:rPr>
        <w:t>技术联络</w:t>
      </w:r>
      <w:r>
        <w:rPr>
          <w:sz w:val="21"/>
          <w:szCs w:val="21"/>
        </w:rPr>
        <w:t>费用</w:t>
      </w:r>
      <w:bookmarkEnd w:id="1086"/>
      <w:bookmarkEnd w:id="1139"/>
    </w:p>
    <w:p w14:paraId="46CA9006">
      <w:pPr>
        <w:pStyle w:val="5"/>
        <w:rPr>
          <w:color w:val="auto"/>
          <w:szCs w:val="21"/>
        </w:rPr>
      </w:pPr>
      <w:r>
        <w:rPr>
          <w:rFonts w:hint="eastAsia"/>
          <w:color w:val="auto"/>
          <w:szCs w:val="21"/>
        </w:rPr>
        <w:t>招标人参加本项目联络会议的所有费用（包括会务费、交通费、食宿费等）由投标人承担，应包含在本项目投标</w:t>
      </w:r>
      <w:r>
        <w:rPr>
          <w:color w:val="auto"/>
          <w:szCs w:val="21"/>
        </w:rPr>
        <w:t>总价中</w:t>
      </w:r>
      <w:r>
        <w:rPr>
          <w:rFonts w:hint="eastAsia"/>
          <w:color w:val="auto"/>
          <w:szCs w:val="21"/>
        </w:rPr>
        <w:t>，并根据最终实际发生的人*天数进行支付。</w:t>
      </w:r>
    </w:p>
    <w:p w14:paraId="4EF23F4C">
      <w:pPr>
        <w:pStyle w:val="5"/>
        <w:rPr>
          <w:color w:val="auto"/>
          <w:szCs w:val="21"/>
        </w:rPr>
      </w:pPr>
      <w:r>
        <w:rPr>
          <w:rFonts w:hint="eastAsia"/>
          <w:color w:val="auto"/>
          <w:szCs w:val="21"/>
        </w:rPr>
        <w:t>因投标人资料准备不全或人员不到位等原因引起的会议延迟或改期而发生的所有费用，由投标人负责，招标人不再支付该部分任何费用。</w:t>
      </w:r>
    </w:p>
    <w:p w14:paraId="65721FCB">
      <w:pPr>
        <w:pStyle w:val="5"/>
        <w:rPr>
          <w:color w:val="auto"/>
          <w:szCs w:val="21"/>
        </w:rPr>
      </w:pPr>
      <w:r>
        <w:rPr>
          <w:rFonts w:hint="eastAsia"/>
          <w:color w:val="auto"/>
          <w:szCs w:val="21"/>
        </w:rPr>
        <w:t>如果</w:t>
      </w:r>
      <w:r>
        <w:rPr>
          <w:rFonts w:hint="eastAsia"/>
          <w:color w:val="auto"/>
          <w:szCs w:val="21"/>
          <w:lang w:eastAsia="zh-CN"/>
        </w:rPr>
        <w:t>技术联络</w:t>
      </w:r>
      <w:r>
        <w:rPr>
          <w:rFonts w:hint="eastAsia"/>
          <w:color w:val="auto"/>
          <w:szCs w:val="21"/>
        </w:rPr>
        <w:t>会议不能达到预期目的，招标人有权增加</w:t>
      </w:r>
      <w:r>
        <w:rPr>
          <w:rFonts w:hint="eastAsia"/>
          <w:color w:val="auto"/>
          <w:szCs w:val="21"/>
          <w:lang w:eastAsia="zh-CN"/>
        </w:rPr>
        <w:t>技术联络</w:t>
      </w:r>
      <w:r>
        <w:rPr>
          <w:rFonts w:hint="eastAsia"/>
          <w:color w:val="auto"/>
          <w:szCs w:val="21"/>
        </w:rPr>
        <w:t>会议。增加</w:t>
      </w:r>
      <w:r>
        <w:rPr>
          <w:rFonts w:hint="eastAsia"/>
          <w:color w:val="auto"/>
          <w:szCs w:val="21"/>
          <w:lang w:eastAsia="zh-CN"/>
        </w:rPr>
        <w:t>技术联络</w:t>
      </w:r>
      <w:r>
        <w:rPr>
          <w:rFonts w:hint="eastAsia"/>
          <w:color w:val="auto"/>
          <w:szCs w:val="21"/>
        </w:rPr>
        <w:t>会议发生的费用由投标人承担，招标人不再支付该部分任何费用。</w:t>
      </w:r>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p>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p w14:paraId="63918729">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1140" w:name="_Toc128138717"/>
      <w:bookmarkStart w:id="1141" w:name="_Toc128137839"/>
      <w:bookmarkStart w:id="1142" w:name="_Toc128141191"/>
      <w:bookmarkStart w:id="1143" w:name="_Toc218145803"/>
      <w:bookmarkStart w:id="1144" w:name="_Toc213406568"/>
      <w:bookmarkStart w:id="1145" w:name="_Toc234326009"/>
      <w:bookmarkStart w:id="1146" w:name="_Toc234326277"/>
      <w:bookmarkStart w:id="1147" w:name="_Toc128138347"/>
      <w:bookmarkStart w:id="1148" w:name="_Toc218141685"/>
      <w:bookmarkStart w:id="1149" w:name="_Toc213407856"/>
      <w:bookmarkStart w:id="1150" w:name="_Toc218144168"/>
      <w:bookmarkStart w:id="1151" w:name="_Toc215889468"/>
      <w:bookmarkStart w:id="1152" w:name="_Toc218141217"/>
      <w:bookmarkStart w:id="1153" w:name="_Toc131867898"/>
      <w:bookmarkStart w:id="1154" w:name="_Toc214703959"/>
      <w:bookmarkStart w:id="1155" w:name="_Toc218142187"/>
      <w:bookmarkStart w:id="1156" w:name="_Toc259981542"/>
      <w:bookmarkStart w:id="1157" w:name="_Toc128223294"/>
      <w:bookmarkStart w:id="1158" w:name="_Toc218143878"/>
      <w:bookmarkStart w:id="1159" w:name="_Toc212869959"/>
      <w:bookmarkStart w:id="1160" w:name="_Toc128139613"/>
      <w:bookmarkStart w:id="1161" w:name="_Toc128140588"/>
      <w:bookmarkStart w:id="1162" w:name="_Toc217105772"/>
      <w:bookmarkStart w:id="1163" w:name="_Toc130876954"/>
      <w:bookmarkStart w:id="1164" w:name="_Toc214704208"/>
      <w:bookmarkStart w:id="1165" w:name="_Toc128141490"/>
      <w:bookmarkStart w:id="1166" w:name="_Toc237702915"/>
      <w:bookmarkStart w:id="1167" w:name="_Toc218144670"/>
      <w:bookmarkStart w:id="1168" w:name="_Toc231185176"/>
      <w:bookmarkStart w:id="1169" w:name="_Toc234326813"/>
      <w:bookmarkStart w:id="1170" w:name="_Toc234326545"/>
      <w:bookmarkStart w:id="1171" w:name="_Toc222816880"/>
      <w:bookmarkStart w:id="1172" w:name="_Toc218147346"/>
      <w:bookmarkStart w:id="1173" w:name="_Toc218144419"/>
      <w:bookmarkStart w:id="1174" w:name="_Toc215885555"/>
      <w:bookmarkStart w:id="1175" w:name="_Toc213477261"/>
      <w:bookmarkStart w:id="1176" w:name="_Toc212872601"/>
      <w:bookmarkStart w:id="1177" w:name="_Toc128120964"/>
      <w:bookmarkStart w:id="1178" w:name="_Toc290373434"/>
      <w:bookmarkStart w:id="1179" w:name="_Toc128122934"/>
      <w:bookmarkStart w:id="1180" w:name="_Toc130291569"/>
      <w:bookmarkStart w:id="1181" w:name="_Toc213477507"/>
      <w:bookmarkStart w:id="1182" w:name="_Toc23585"/>
      <w:bookmarkStart w:id="1183" w:name="_Toc212875113"/>
      <w:bookmarkStart w:id="1184" w:name="_Toc128138101"/>
      <w:bookmarkStart w:id="1185" w:name="_Toc212873921"/>
      <w:bookmarkStart w:id="1186" w:name="_Toc128139332"/>
      <w:bookmarkStart w:id="1187" w:name="_Toc28869"/>
      <w:bookmarkStart w:id="1188" w:name="_Toc218143447"/>
      <w:bookmarkStart w:id="1189" w:name="_Toc128140021"/>
      <w:bookmarkStart w:id="1190" w:name="_Toc218141936"/>
      <w:bookmarkStart w:id="1191" w:name="_Toc128141013"/>
      <w:bookmarkStart w:id="1192" w:name="_Toc218144921"/>
      <w:bookmarkStart w:id="1193" w:name="_Toc128121076"/>
      <w:bookmarkStart w:id="1194" w:name="_Toc218145221"/>
      <w:bookmarkStart w:id="1195" w:name="_Toc214704457"/>
      <w:bookmarkStart w:id="1196" w:name="_Toc218147597"/>
      <w:bookmarkStart w:id="1197" w:name="_Toc128139119"/>
      <w:bookmarkStart w:id="1198" w:name="_Toc234325803"/>
      <w:bookmarkStart w:id="1199" w:name="_Toc128137423"/>
      <w:bookmarkStart w:id="1200" w:name="_Toc128223300"/>
      <w:bookmarkStart w:id="1201" w:name="_Toc212869965"/>
      <w:bookmarkStart w:id="1202" w:name="_Toc128137845"/>
      <w:bookmarkStart w:id="1203" w:name="_Toc213406569"/>
      <w:bookmarkStart w:id="1204" w:name="_Toc213477513"/>
      <w:bookmarkStart w:id="1205" w:name="_Toc128139619"/>
      <w:bookmarkStart w:id="1206" w:name="_Toc212872607"/>
      <w:bookmarkStart w:id="1207" w:name="_Toc212875119"/>
      <w:bookmarkStart w:id="1208" w:name="_Toc128122940"/>
      <w:bookmarkStart w:id="1209" w:name="_Toc128138353"/>
      <w:bookmarkStart w:id="1210" w:name="_Toc128120970"/>
      <w:bookmarkStart w:id="1211" w:name="_Toc131867904"/>
      <w:bookmarkStart w:id="1212" w:name="_Toc128137429"/>
      <w:bookmarkStart w:id="1213" w:name="_Toc130291575"/>
      <w:bookmarkStart w:id="1214" w:name="_Toc128140027"/>
      <w:bookmarkStart w:id="1215" w:name="_Toc213407862"/>
      <w:bookmarkStart w:id="1216" w:name="_Toc128141197"/>
      <w:bookmarkStart w:id="1217" w:name="_Toc128139338"/>
      <w:bookmarkStart w:id="1218" w:name="_Toc212873927"/>
      <w:bookmarkStart w:id="1219" w:name="_Toc128141496"/>
      <w:bookmarkStart w:id="1220" w:name="_Toc128140594"/>
      <w:bookmarkStart w:id="1221" w:name="_Toc128138723"/>
      <w:bookmarkStart w:id="1222" w:name="_Toc128138107"/>
      <w:bookmarkStart w:id="1223" w:name="_Toc128141019"/>
      <w:bookmarkStart w:id="1224" w:name="_Toc213477267"/>
      <w:bookmarkStart w:id="1225" w:name="_Toc128139125"/>
      <w:r>
        <w:rPr>
          <w:rFonts w:ascii="Times New Roman" w:hAnsi="Times New Roman" w:eastAsia="宋体"/>
          <w:b/>
          <w:bCs/>
          <w:sz w:val="21"/>
          <w:szCs w:val="21"/>
        </w:rPr>
        <w:t>系统质量保证</w:t>
      </w:r>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p>
    <w:p w14:paraId="740AB504">
      <w:pPr>
        <w:widowControl/>
        <w:tabs>
          <w:tab w:val="left" w:pos="370"/>
        </w:tabs>
        <w:adjustRightInd w:val="0"/>
        <w:snapToGrid w:val="0"/>
        <w:ind w:firstLine="420" w:firstLineChars="200"/>
        <w:rPr>
          <w:sz w:val="21"/>
          <w:szCs w:val="21"/>
        </w:rPr>
      </w:pPr>
      <w:bookmarkStart w:id="1226" w:name="_Toc293470445"/>
      <w:r>
        <w:rPr>
          <w:sz w:val="21"/>
          <w:szCs w:val="21"/>
        </w:rPr>
        <w:t>投标人应严格按照ISO9000质量体系的规定，制定项目质量控制标准，保证在项目执行</w:t>
      </w:r>
      <w:bookmarkEnd w:id="1226"/>
      <w:bookmarkStart w:id="1227" w:name="_Toc293470446"/>
      <w:r>
        <w:rPr>
          <w:sz w:val="21"/>
          <w:szCs w:val="21"/>
        </w:rPr>
        <w:t>的各个阶段均得到有效控制，所有质量控制过程均</w:t>
      </w:r>
      <w:r>
        <w:rPr>
          <w:rFonts w:hint="eastAsia"/>
          <w:sz w:val="21"/>
          <w:szCs w:val="21"/>
        </w:rPr>
        <w:t>须</w:t>
      </w:r>
      <w:r>
        <w:rPr>
          <w:sz w:val="21"/>
          <w:szCs w:val="21"/>
        </w:rPr>
        <w:t>有质量记录，以便进行产品、设备</w:t>
      </w:r>
      <w:bookmarkEnd w:id="1227"/>
      <w:bookmarkStart w:id="1228" w:name="_Toc293470447"/>
      <w:r>
        <w:rPr>
          <w:sz w:val="21"/>
          <w:szCs w:val="21"/>
        </w:rPr>
        <w:t>质量的追溯。</w:t>
      </w:r>
      <w:bookmarkEnd w:id="1228"/>
    </w:p>
    <w:p w14:paraId="51725333">
      <w:pPr>
        <w:pStyle w:val="4"/>
        <w:rPr>
          <w:sz w:val="21"/>
          <w:szCs w:val="21"/>
        </w:rPr>
      </w:pPr>
      <w:bookmarkStart w:id="1229" w:name="_Toc234326010"/>
      <w:bookmarkStart w:id="1230" w:name="_Toc128141014"/>
      <w:bookmarkStart w:id="1231" w:name="_Toc218144922"/>
      <w:bookmarkStart w:id="1232" w:name="_Toc237702916"/>
      <w:bookmarkStart w:id="1233" w:name="_Toc218141937"/>
      <w:bookmarkStart w:id="1234" w:name="_Toc128140022"/>
      <w:bookmarkStart w:id="1235" w:name="_Toc213477508"/>
      <w:bookmarkStart w:id="1236" w:name="_Toc212872602"/>
      <w:bookmarkStart w:id="1237" w:name="_Toc128140589"/>
      <w:bookmarkStart w:id="1238" w:name="_Toc128141491"/>
      <w:bookmarkStart w:id="1239" w:name="_Toc212873922"/>
      <w:bookmarkStart w:id="1240" w:name="_Toc218145222"/>
      <w:bookmarkStart w:id="1241" w:name="_Toc218147347"/>
      <w:bookmarkStart w:id="1242" w:name="_Toc128138718"/>
      <w:bookmarkStart w:id="1243" w:name="_Toc128139614"/>
      <w:bookmarkStart w:id="1244" w:name="_Toc234326278"/>
      <w:bookmarkStart w:id="1245" w:name="_Toc128138102"/>
      <w:bookmarkStart w:id="1246" w:name="_Toc217105773"/>
      <w:bookmarkStart w:id="1247" w:name="_Toc218142188"/>
      <w:bookmarkStart w:id="1248" w:name="_Toc218144169"/>
      <w:bookmarkStart w:id="1249" w:name="_Toc214703960"/>
      <w:bookmarkStart w:id="1250" w:name="_Toc128138348"/>
      <w:bookmarkStart w:id="1251" w:name="_Toc214704209"/>
      <w:bookmarkStart w:id="1252" w:name="_Toc231185177"/>
      <w:bookmarkStart w:id="1253" w:name="_Toc128137424"/>
      <w:bookmarkStart w:id="1254" w:name="_Toc259981543"/>
      <w:bookmarkStart w:id="1255" w:name="_Toc218144420"/>
      <w:bookmarkStart w:id="1256" w:name="_Toc215889469"/>
      <w:bookmarkStart w:id="1257" w:name="_Toc130291570"/>
      <w:bookmarkStart w:id="1258" w:name="_Toc128141192"/>
      <w:bookmarkStart w:id="1259" w:name="_Toc215885556"/>
      <w:bookmarkStart w:id="1260" w:name="_Toc218145804"/>
      <w:bookmarkStart w:id="1261" w:name="_Toc212869960"/>
      <w:bookmarkStart w:id="1262" w:name="_Toc128223295"/>
      <w:bookmarkStart w:id="1263" w:name="_Toc128139120"/>
      <w:bookmarkStart w:id="1264" w:name="_Toc213477262"/>
      <w:bookmarkStart w:id="1265" w:name="_Toc234326546"/>
      <w:bookmarkStart w:id="1266" w:name="_Toc128122935"/>
      <w:bookmarkStart w:id="1267" w:name="_Toc214704458"/>
      <w:bookmarkStart w:id="1268" w:name="_Toc218143879"/>
      <w:bookmarkStart w:id="1269" w:name="_Toc218141218"/>
      <w:bookmarkStart w:id="1270" w:name="_Toc218143448"/>
      <w:bookmarkStart w:id="1271" w:name="_Toc18082"/>
      <w:bookmarkStart w:id="1272" w:name="_Toc212875114"/>
      <w:bookmarkStart w:id="1273" w:name="_Toc218144671"/>
      <w:bookmarkStart w:id="1274" w:name="_Toc218147598"/>
      <w:bookmarkStart w:id="1275" w:name="_Toc128120965"/>
      <w:bookmarkStart w:id="1276" w:name="_Toc131867899"/>
      <w:bookmarkStart w:id="1277" w:name="_Toc234326814"/>
      <w:bookmarkStart w:id="1278" w:name="_Toc218141686"/>
      <w:bookmarkStart w:id="1279" w:name="_Toc21860"/>
      <w:bookmarkStart w:id="1280" w:name="_Toc290373435"/>
      <w:bookmarkStart w:id="1281" w:name="_Toc128139333"/>
      <w:bookmarkStart w:id="1282" w:name="_Toc213407857"/>
      <w:r>
        <w:rPr>
          <w:sz w:val="21"/>
          <w:szCs w:val="21"/>
        </w:rPr>
        <w:t>质量控制</w:t>
      </w:r>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p>
    <w:p w14:paraId="1288BE7A">
      <w:pPr>
        <w:widowControl/>
        <w:tabs>
          <w:tab w:val="left" w:pos="370"/>
        </w:tabs>
        <w:adjustRightInd w:val="0"/>
        <w:snapToGrid w:val="0"/>
        <w:ind w:firstLine="630" w:firstLineChars="300"/>
        <w:rPr>
          <w:sz w:val="21"/>
          <w:szCs w:val="21"/>
        </w:rPr>
      </w:pPr>
      <w:bookmarkStart w:id="1283" w:name="_Toc259981544"/>
      <w:bookmarkStart w:id="1284" w:name="_Toc293470449"/>
      <w:bookmarkStart w:id="1285" w:name="_Toc234326815"/>
      <w:bookmarkStart w:id="1286" w:name="_Toc234326279"/>
      <w:bookmarkStart w:id="1287" w:name="_Toc237702917"/>
      <w:bookmarkStart w:id="1288" w:name="_Toc234326547"/>
      <w:bookmarkStart w:id="1289" w:name="_Toc234326011"/>
      <w:r>
        <w:rPr>
          <w:sz w:val="21"/>
          <w:szCs w:val="21"/>
        </w:rPr>
        <w:t>质量控制应包括（但不限于）以下内容：</w:t>
      </w:r>
      <w:bookmarkEnd w:id="1283"/>
      <w:bookmarkEnd w:id="1284"/>
      <w:bookmarkEnd w:id="1285"/>
      <w:bookmarkEnd w:id="1286"/>
      <w:bookmarkEnd w:id="1287"/>
      <w:bookmarkEnd w:id="1288"/>
      <w:bookmarkEnd w:id="1289"/>
    </w:p>
    <w:p w14:paraId="54CD9BF9">
      <w:pPr>
        <w:pStyle w:val="5"/>
        <w:rPr>
          <w:color w:val="auto"/>
          <w:szCs w:val="21"/>
        </w:rPr>
      </w:pPr>
      <w:r>
        <w:rPr>
          <w:rFonts w:hint="eastAsia"/>
          <w:color w:val="auto"/>
          <w:szCs w:val="21"/>
          <w:lang w:eastAsia="zh-CN"/>
        </w:rPr>
        <w:t>规划</w:t>
      </w:r>
      <w:r>
        <w:rPr>
          <w:color w:val="auto"/>
          <w:szCs w:val="21"/>
        </w:rPr>
        <w:t>、生产制造、测试等阶段的控制</w:t>
      </w:r>
    </w:p>
    <w:p w14:paraId="4189019A">
      <w:pPr>
        <w:numPr>
          <w:ilvl w:val="0"/>
          <w:numId w:val="35"/>
        </w:numPr>
        <w:adjustRightInd w:val="0"/>
        <w:snapToGrid w:val="0"/>
        <w:rPr>
          <w:sz w:val="21"/>
          <w:szCs w:val="21"/>
        </w:rPr>
      </w:pPr>
      <w:r>
        <w:rPr>
          <w:sz w:val="21"/>
          <w:szCs w:val="21"/>
        </w:rPr>
        <w:t>制定合同各阶段（如：</w:t>
      </w:r>
      <w:r>
        <w:rPr>
          <w:rFonts w:hint="eastAsia"/>
          <w:sz w:val="21"/>
          <w:szCs w:val="21"/>
          <w:lang w:eastAsia="zh-CN"/>
        </w:rPr>
        <w:t>规划</w:t>
      </w:r>
      <w:r>
        <w:rPr>
          <w:sz w:val="21"/>
          <w:szCs w:val="21"/>
        </w:rPr>
        <w:t>、生产制造、测试等阶段）的质量保证监督计划，确保交付的各项设备均达到合同的要求。</w:t>
      </w:r>
    </w:p>
    <w:p w14:paraId="7ADF6E49">
      <w:pPr>
        <w:numPr>
          <w:ilvl w:val="0"/>
          <w:numId w:val="35"/>
        </w:numPr>
        <w:adjustRightInd w:val="0"/>
        <w:snapToGrid w:val="0"/>
        <w:rPr>
          <w:sz w:val="21"/>
          <w:szCs w:val="21"/>
        </w:rPr>
      </w:pPr>
      <w:r>
        <w:rPr>
          <w:sz w:val="21"/>
          <w:szCs w:val="21"/>
        </w:rPr>
        <w:t>对直接影响系统质量的制造和装配，应制定详细的监督和控制计划，报招标人确认批准。</w:t>
      </w:r>
    </w:p>
    <w:p w14:paraId="625F519D">
      <w:pPr>
        <w:numPr>
          <w:ilvl w:val="0"/>
          <w:numId w:val="35"/>
        </w:numPr>
        <w:adjustRightInd w:val="0"/>
        <w:snapToGrid w:val="0"/>
        <w:rPr>
          <w:sz w:val="21"/>
          <w:szCs w:val="21"/>
        </w:rPr>
      </w:pPr>
      <w:r>
        <w:rPr>
          <w:sz w:val="21"/>
          <w:szCs w:val="21"/>
        </w:rPr>
        <w:t>投标人应对所有外购材料采取有效的质量控制措施，以确保其满足合同要求。</w:t>
      </w:r>
    </w:p>
    <w:p w14:paraId="292FD31F">
      <w:pPr>
        <w:pStyle w:val="5"/>
        <w:rPr>
          <w:color w:val="auto"/>
          <w:szCs w:val="21"/>
        </w:rPr>
      </w:pPr>
      <w:r>
        <w:rPr>
          <w:color w:val="auto"/>
          <w:szCs w:val="21"/>
        </w:rPr>
        <w:t>检查和试验阶段的控制</w:t>
      </w:r>
    </w:p>
    <w:p w14:paraId="14BFE358">
      <w:pPr>
        <w:numPr>
          <w:ilvl w:val="0"/>
          <w:numId w:val="35"/>
        </w:numPr>
        <w:adjustRightInd w:val="0"/>
        <w:snapToGrid w:val="0"/>
        <w:rPr>
          <w:sz w:val="21"/>
          <w:szCs w:val="21"/>
        </w:rPr>
      </w:pPr>
      <w:r>
        <w:rPr>
          <w:sz w:val="21"/>
          <w:szCs w:val="21"/>
        </w:rPr>
        <w:t>应保证不得使用或加工未经检查或鉴定是否符合规定要求的产品。</w:t>
      </w:r>
    </w:p>
    <w:p w14:paraId="4620FDA1">
      <w:pPr>
        <w:numPr>
          <w:ilvl w:val="0"/>
          <w:numId w:val="35"/>
        </w:numPr>
        <w:adjustRightInd w:val="0"/>
        <w:snapToGrid w:val="0"/>
        <w:rPr>
          <w:sz w:val="21"/>
          <w:szCs w:val="21"/>
        </w:rPr>
      </w:pPr>
      <w:r>
        <w:rPr>
          <w:sz w:val="21"/>
          <w:szCs w:val="21"/>
        </w:rPr>
        <w:t>设备出厂检验</w:t>
      </w:r>
      <w:r>
        <w:rPr>
          <w:rFonts w:hint="eastAsia"/>
          <w:sz w:val="21"/>
          <w:szCs w:val="21"/>
        </w:rPr>
        <w:t>须</w:t>
      </w:r>
      <w:r>
        <w:rPr>
          <w:sz w:val="21"/>
          <w:szCs w:val="21"/>
        </w:rPr>
        <w:t>提前1个月向招标人提交检验、验收文件和计划，经招标人确认批准后方可实施。</w:t>
      </w:r>
    </w:p>
    <w:p w14:paraId="220937F8">
      <w:pPr>
        <w:numPr>
          <w:ilvl w:val="0"/>
          <w:numId w:val="35"/>
        </w:numPr>
        <w:adjustRightInd w:val="0"/>
        <w:snapToGrid w:val="0"/>
        <w:rPr>
          <w:sz w:val="21"/>
          <w:szCs w:val="21"/>
        </w:rPr>
      </w:pPr>
      <w:r>
        <w:rPr>
          <w:sz w:val="21"/>
          <w:szCs w:val="21"/>
        </w:rPr>
        <w:t>应严格按照检验、验收文件进行相应的工作，不得以任何借口减少检验、验收项目和内容。</w:t>
      </w:r>
    </w:p>
    <w:p w14:paraId="27B0E459">
      <w:pPr>
        <w:pStyle w:val="4"/>
        <w:rPr>
          <w:sz w:val="21"/>
          <w:szCs w:val="21"/>
        </w:rPr>
      </w:pPr>
      <w:bookmarkStart w:id="1290" w:name="_Toc214704459"/>
      <w:bookmarkStart w:id="1291" w:name="_Toc131867900"/>
      <w:bookmarkStart w:id="1292" w:name="_Toc218143880"/>
      <w:bookmarkStart w:id="1293" w:name="_Toc128223296"/>
      <w:bookmarkStart w:id="1294" w:name="_Toc215885557"/>
      <w:bookmarkStart w:id="1295" w:name="_Toc128139615"/>
      <w:bookmarkStart w:id="1296" w:name="_Toc234326280"/>
      <w:bookmarkStart w:id="1297" w:name="_Toc212873923"/>
      <w:bookmarkStart w:id="1298" w:name="_Toc214703961"/>
      <w:bookmarkStart w:id="1299" w:name="_Toc218145223"/>
      <w:bookmarkStart w:id="1300" w:name="_Toc218141687"/>
      <w:bookmarkStart w:id="1301" w:name="_Toc218141219"/>
      <w:bookmarkStart w:id="1302" w:name="_Toc218142189"/>
      <w:bookmarkStart w:id="1303" w:name="_Toc128138719"/>
      <w:bookmarkStart w:id="1304" w:name="_Toc213477263"/>
      <w:bookmarkStart w:id="1305" w:name="_Toc218143449"/>
      <w:bookmarkStart w:id="1306" w:name="_Toc212872603"/>
      <w:bookmarkStart w:id="1307" w:name="_Toc234326012"/>
      <w:bookmarkStart w:id="1308" w:name="_Toc215889470"/>
      <w:bookmarkStart w:id="1309" w:name="_Toc128122936"/>
      <w:bookmarkStart w:id="1310" w:name="_Toc29586"/>
      <w:bookmarkStart w:id="1311" w:name="_Toc218147348"/>
      <w:bookmarkStart w:id="1312" w:name="_Toc128140590"/>
      <w:bookmarkStart w:id="1313" w:name="_Toc218141938"/>
      <w:bookmarkStart w:id="1314" w:name="_Toc128120966"/>
      <w:bookmarkStart w:id="1315" w:name="_Toc128140023"/>
      <w:bookmarkStart w:id="1316" w:name="_Toc237702918"/>
      <w:bookmarkStart w:id="1317" w:name="_Toc218147599"/>
      <w:bookmarkStart w:id="1318" w:name="_Toc128141015"/>
      <w:bookmarkStart w:id="1319" w:name="_Toc213407858"/>
      <w:bookmarkStart w:id="1320" w:name="_Toc128137425"/>
      <w:bookmarkStart w:id="1321" w:name="_Toc214704210"/>
      <w:bookmarkStart w:id="1322" w:name="_Toc218144923"/>
      <w:bookmarkStart w:id="1323" w:name="_Toc130291571"/>
      <w:bookmarkStart w:id="1324" w:name="_Toc234326548"/>
      <w:bookmarkStart w:id="1325" w:name="_Toc213477509"/>
      <w:bookmarkStart w:id="1326" w:name="_Toc234326816"/>
      <w:bookmarkStart w:id="1327" w:name="_Toc128141492"/>
      <w:bookmarkStart w:id="1328" w:name="_Toc218145805"/>
      <w:bookmarkStart w:id="1329" w:name="_Toc212869961"/>
      <w:bookmarkStart w:id="1330" w:name="_Toc218144672"/>
      <w:bookmarkStart w:id="1331" w:name="_Toc128138103"/>
      <w:bookmarkStart w:id="1332" w:name="_Toc128139334"/>
      <w:bookmarkStart w:id="1333" w:name="_Toc128139121"/>
      <w:bookmarkStart w:id="1334" w:name="_Toc218144170"/>
      <w:bookmarkStart w:id="1335" w:name="_Toc128138349"/>
      <w:bookmarkStart w:id="1336" w:name="_Toc218144421"/>
      <w:bookmarkStart w:id="1337" w:name="_Toc128141193"/>
      <w:bookmarkStart w:id="1338" w:name="_Toc259981545"/>
      <w:bookmarkStart w:id="1339" w:name="_Toc290373436"/>
      <w:bookmarkStart w:id="1340" w:name="_Toc212875115"/>
      <w:bookmarkStart w:id="1341" w:name="_Toc31887"/>
      <w:bookmarkStart w:id="1342" w:name="_Toc217105774"/>
      <w:bookmarkStart w:id="1343" w:name="_Toc231185178"/>
      <w:r>
        <w:rPr>
          <w:sz w:val="21"/>
          <w:szCs w:val="21"/>
        </w:rPr>
        <w:t>质量审核</w:t>
      </w:r>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p>
    <w:p w14:paraId="4C27F1B9">
      <w:pPr>
        <w:pStyle w:val="5"/>
        <w:rPr>
          <w:color w:val="auto"/>
          <w:szCs w:val="21"/>
        </w:rPr>
      </w:pPr>
      <w:r>
        <w:rPr>
          <w:color w:val="auto"/>
          <w:szCs w:val="21"/>
        </w:rPr>
        <w:t>投标人应设立内部质量审核体系，用以审核其质量保证监督措施是否按规定的计划和内容实施。</w:t>
      </w:r>
    </w:p>
    <w:p w14:paraId="2B4FD31E">
      <w:pPr>
        <w:pStyle w:val="5"/>
        <w:rPr>
          <w:color w:val="auto"/>
          <w:szCs w:val="21"/>
        </w:rPr>
      </w:pPr>
      <w:r>
        <w:rPr>
          <w:color w:val="auto"/>
          <w:szCs w:val="21"/>
        </w:rPr>
        <w:t>审核工作应根据工程每阶段的重点，制定计划，并按计划进行。</w:t>
      </w:r>
    </w:p>
    <w:p w14:paraId="025125CE">
      <w:pPr>
        <w:pStyle w:val="5"/>
        <w:rPr>
          <w:color w:val="auto"/>
          <w:szCs w:val="21"/>
        </w:rPr>
      </w:pPr>
      <w:r>
        <w:rPr>
          <w:color w:val="auto"/>
          <w:szCs w:val="21"/>
        </w:rPr>
        <w:t>投标人应对审核结果形成文件，备查。</w:t>
      </w:r>
    </w:p>
    <w:p w14:paraId="32E33BA0">
      <w:pPr>
        <w:pStyle w:val="4"/>
        <w:rPr>
          <w:sz w:val="21"/>
          <w:szCs w:val="21"/>
        </w:rPr>
      </w:pPr>
      <w:bookmarkStart w:id="1344" w:name="_Toc234326817"/>
      <w:bookmarkStart w:id="1345" w:name="_Toc234326549"/>
      <w:bookmarkStart w:id="1346" w:name="_Toc128139122"/>
      <w:bookmarkStart w:id="1347" w:name="_Toc218145806"/>
      <w:bookmarkStart w:id="1348" w:name="_Toc259981546"/>
      <w:bookmarkStart w:id="1349" w:name="_Toc130291572"/>
      <w:bookmarkStart w:id="1350" w:name="_Toc218141688"/>
      <w:bookmarkStart w:id="1351" w:name="_Toc128140591"/>
      <w:bookmarkStart w:id="1352" w:name="_Toc234326281"/>
      <w:bookmarkStart w:id="1353" w:name="_Toc218144673"/>
      <w:bookmarkStart w:id="1354" w:name="_Toc24291"/>
      <w:bookmarkStart w:id="1355" w:name="_Toc218144422"/>
      <w:bookmarkStart w:id="1356" w:name="_Toc128140024"/>
      <w:bookmarkStart w:id="1357" w:name="_Toc212875116"/>
      <w:bookmarkStart w:id="1358" w:name="_Toc128138104"/>
      <w:bookmarkStart w:id="1359" w:name="_Toc128141016"/>
      <w:bookmarkStart w:id="1360" w:name="_Toc212873924"/>
      <w:bookmarkStart w:id="1361" w:name="_Toc218147349"/>
      <w:bookmarkStart w:id="1362" w:name="_Toc217105775"/>
      <w:bookmarkStart w:id="1363" w:name="_Toc128120967"/>
      <w:bookmarkStart w:id="1364" w:name="_Toc128141194"/>
      <w:bookmarkStart w:id="1365" w:name="_Toc218143881"/>
      <w:bookmarkStart w:id="1366" w:name="_Toc128223297"/>
      <w:bookmarkStart w:id="1367" w:name="_Toc212869962"/>
      <w:bookmarkStart w:id="1368" w:name="_Toc128139335"/>
      <w:bookmarkStart w:id="1369" w:name="_Toc131867901"/>
      <w:bookmarkStart w:id="1370" w:name="_Toc128122937"/>
      <w:bookmarkStart w:id="1371" w:name="_Toc218144924"/>
      <w:bookmarkStart w:id="1372" w:name="_Toc128138720"/>
      <w:bookmarkStart w:id="1373" w:name="_Toc128138350"/>
      <w:bookmarkStart w:id="1374" w:name="_Toc214704211"/>
      <w:bookmarkStart w:id="1375" w:name="_Toc218147600"/>
      <w:bookmarkStart w:id="1376" w:name="_Toc215889471"/>
      <w:bookmarkStart w:id="1377" w:name="_Toc215885558"/>
      <w:bookmarkStart w:id="1378" w:name="_Toc213477264"/>
      <w:bookmarkStart w:id="1379" w:name="_Toc234326013"/>
      <w:bookmarkStart w:id="1380" w:name="_Toc218141220"/>
      <w:bookmarkStart w:id="1381" w:name="_Toc218142190"/>
      <w:bookmarkStart w:id="1382" w:name="_Toc218141939"/>
      <w:bookmarkStart w:id="1383" w:name="_Toc214704460"/>
      <w:bookmarkStart w:id="1384" w:name="_Toc128137426"/>
      <w:bookmarkStart w:id="1385" w:name="_Toc11160"/>
      <w:bookmarkStart w:id="1386" w:name="_Toc231185179"/>
      <w:bookmarkStart w:id="1387" w:name="_Toc212872604"/>
      <w:bookmarkStart w:id="1388" w:name="_Toc213477510"/>
      <w:bookmarkStart w:id="1389" w:name="_Toc237702919"/>
      <w:bookmarkStart w:id="1390" w:name="_Toc213407859"/>
      <w:bookmarkStart w:id="1391" w:name="_Toc214703962"/>
      <w:bookmarkStart w:id="1392" w:name="_Toc290373437"/>
      <w:bookmarkStart w:id="1393" w:name="_Toc218145224"/>
      <w:bookmarkStart w:id="1394" w:name="_Toc218144171"/>
      <w:bookmarkStart w:id="1395" w:name="_Toc218143450"/>
      <w:bookmarkStart w:id="1396" w:name="_Toc128139616"/>
      <w:bookmarkStart w:id="1397" w:name="_Toc128141493"/>
      <w:r>
        <w:rPr>
          <w:sz w:val="21"/>
          <w:szCs w:val="21"/>
        </w:rPr>
        <w:t>质量记录</w:t>
      </w:r>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p>
    <w:p w14:paraId="3FC427BE">
      <w:pPr>
        <w:widowControl/>
        <w:tabs>
          <w:tab w:val="left" w:pos="370"/>
        </w:tabs>
        <w:adjustRightInd w:val="0"/>
        <w:snapToGrid w:val="0"/>
        <w:ind w:firstLine="630" w:firstLineChars="300"/>
        <w:rPr>
          <w:sz w:val="21"/>
          <w:szCs w:val="21"/>
        </w:rPr>
      </w:pPr>
      <w:r>
        <w:rPr>
          <w:sz w:val="21"/>
          <w:szCs w:val="21"/>
        </w:rPr>
        <w:t>投标人应按照系统做好产品质量记录，用以证明产品已达到规定的质量要求。质量记录应清晰可辩，如招标人需要，应可随时调看。</w:t>
      </w:r>
    </w:p>
    <w:p w14:paraId="2A662E52">
      <w:pPr>
        <w:pStyle w:val="4"/>
        <w:rPr>
          <w:sz w:val="21"/>
          <w:szCs w:val="21"/>
        </w:rPr>
      </w:pPr>
      <w:bookmarkStart w:id="1398" w:name="_Toc128140592"/>
      <w:bookmarkStart w:id="1399" w:name="_Toc215885559"/>
      <w:bookmarkStart w:id="1400" w:name="_Toc259981547"/>
      <w:bookmarkStart w:id="1401" w:name="_Toc128139123"/>
      <w:bookmarkStart w:id="1402" w:name="_Toc218142191"/>
      <w:bookmarkStart w:id="1403" w:name="_Toc218143451"/>
      <w:bookmarkStart w:id="1404" w:name="_Toc128140025"/>
      <w:bookmarkStart w:id="1405" w:name="_Toc128139336"/>
      <w:bookmarkStart w:id="1406" w:name="_Toc213477265"/>
      <w:bookmarkStart w:id="1407" w:name="_Toc214703963"/>
      <w:bookmarkStart w:id="1408" w:name="_Toc234326550"/>
      <w:bookmarkStart w:id="1409" w:name="_Toc128120968"/>
      <w:bookmarkStart w:id="1410" w:name="_Toc218141221"/>
      <w:bookmarkStart w:id="1411" w:name="_Toc128122938"/>
      <w:bookmarkStart w:id="1412" w:name="_Toc27544"/>
      <w:bookmarkStart w:id="1413" w:name="_Toc212873925"/>
      <w:bookmarkStart w:id="1414" w:name="_Toc128141017"/>
      <w:bookmarkStart w:id="1415" w:name="_Toc128138351"/>
      <w:bookmarkStart w:id="1416" w:name="_Toc234326818"/>
      <w:bookmarkStart w:id="1417" w:name="_Toc218141689"/>
      <w:bookmarkStart w:id="1418" w:name="_Toc237702920"/>
      <w:bookmarkStart w:id="1419" w:name="_Toc128223298"/>
      <w:bookmarkStart w:id="1420" w:name="_Toc31349"/>
      <w:bookmarkStart w:id="1421" w:name="_Toc218144423"/>
      <w:bookmarkStart w:id="1422" w:name="_Toc128141494"/>
      <w:bookmarkStart w:id="1423" w:name="_Toc218144925"/>
      <w:bookmarkStart w:id="1424" w:name="_Toc218141940"/>
      <w:bookmarkStart w:id="1425" w:name="_Toc217105776"/>
      <w:bookmarkStart w:id="1426" w:name="_Toc231185180"/>
      <w:bookmarkStart w:id="1427" w:name="_Toc218147601"/>
      <w:bookmarkStart w:id="1428" w:name="_Toc213477511"/>
      <w:bookmarkStart w:id="1429" w:name="_Toc128138721"/>
      <w:bookmarkStart w:id="1430" w:name="_Toc214704212"/>
      <w:bookmarkStart w:id="1431" w:name="_Toc218145225"/>
      <w:bookmarkStart w:id="1432" w:name="_Toc212869963"/>
      <w:bookmarkStart w:id="1433" w:name="_Toc130291573"/>
      <w:bookmarkStart w:id="1434" w:name="_Toc218147350"/>
      <w:bookmarkStart w:id="1435" w:name="_Toc128141195"/>
      <w:bookmarkStart w:id="1436" w:name="_Toc213407860"/>
      <w:bookmarkStart w:id="1437" w:name="_Toc128138105"/>
      <w:bookmarkStart w:id="1438" w:name="_Toc215889472"/>
      <w:bookmarkStart w:id="1439" w:name="_Toc128139617"/>
      <w:bookmarkStart w:id="1440" w:name="_Toc128137427"/>
      <w:bookmarkStart w:id="1441" w:name="_Toc290373438"/>
      <w:bookmarkStart w:id="1442" w:name="_Toc218144674"/>
      <w:bookmarkStart w:id="1443" w:name="_Toc131867902"/>
      <w:bookmarkStart w:id="1444" w:name="_Toc234326014"/>
      <w:bookmarkStart w:id="1445" w:name="_Toc212872605"/>
      <w:bookmarkStart w:id="1446" w:name="_Toc212875117"/>
      <w:bookmarkStart w:id="1447" w:name="_Toc218145807"/>
      <w:bookmarkStart w:id="1448" w:name="_Toc218143882"/>
      <w:bookmarkStart w:id="1449" w:name="_Toc234326282"/>
      <w:bookmarkStart w:id="1450" w:name="_Toc218144172"/>
      <w:bookmarkStart w:id="1451" w:name="_Toc214704461"/>
      <w:r>
        <w:rPr>
          <w:sz w:val="21"/>
          <w:szCs w:val="21"/>
        </w:rPr>
        <w:t>质量文件</w:t>
      </w:r>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p>
    <w:p w14:paraId="4A79F458">
      <w:pPr>
        <w:pStyle w:val="5"/>
        <w:rPr>
          <w:color w:val="auto"/>
          <w:szCs w:val="21"/>
        </w:rPr>
      </w:pPr>
      <w:r>
        <w:rPr>
          <w:color w:val="auto"/>
          <w:szCs w:val="21"/>
        </w:rPr>
        <w:t>质量政策、目的文件：</w:t>
      </w:r>
    </w:p>
    <w:p w14:paraId="2A7F107A">
      <w:pPr>
        <w:numPr>
          <w:ilvl w:val="0"/>
          <w:numId w:val="35"/>
        </w:numPr>
        <w:adjustRightInd w:val="0"/>
        <w:snapToGrid w:val="0"/>
        <w:rPr>
          <w:sz w:val="21"/>
          <w:szCs w:val="21"/>
        </w:rPr>
      </w:pPr>
      <w:r>
        <w:rPr>
          <w:sz w:val="21"/>
          <w:szCs w:val="21"/>
        </w:rPr>
        <w:t>投标人对系统质量的政策、目的和保证应有明确定义并制定文件。</w:t>
      </w:r>
    </w:p>
    <w:p w14:paraId="21F32DB8">
      <w:pPr>
        <w:numPr>
          <w:ilvl w:val="0"/>
          <w:numId w:val="35"/>
        </w:numPr>
        <w:adjustRightInd w:val="0"/>
        <w:snapToGrid w:val="0"/>
        <w:rPr>
          <w:sz w:val="21"/>
          <w:szCs w:val="21"/>
        </w:rPr>
      </w:pPr>
      <w:r>
        <w:rPr>
          <w:sz w:val="21"/>
          <w:szCs w:val="21"/>
        </w:rPr>
        <w:t>保证该政策在各级组织范围内已理解、贯彻和执行。</w:t>
      </w:r>
    </w:p>
    <w:p w14:paraId="3EEA2C18">
      <w:pPr>
        <w:pStyle w:val="5"/>
        <w:rPr>
          <w:color w:val="auto"/>
          <w:szCs w:val="21"/>
        </w:rPr>
      </w:pPr>
      <w:r>
        <w:rPr>
          <w:color w:val="auto"/>
          <w:szCs w:val="21"/>
        </w:rPr>
        <w:t>质量体系程序文件：</w:t>
      </w:r>
    </w:p>
    <w:p w14:paraId="3B639197">
      <w:pPr>
        <w:numPr>
          <w:ilvl w:val="0"/>
          <w:numId w:val="35"/>
        </w:numPr>
        <w:adjustRightInd w:val="0"/>
        <w:snapToGrid w:val="0"/>
        <w:rPr>
          <w:sz w:val="21"/>
          <w:szCs w:val="21"/>
        </w:rPr>
      </w:pPr>
      <w:r>
        <w:rPr>
          <w:sz w:val="21"/>
          <w:szCs w:val="21"/>
        </w:rPr>
        <w:t>投标人应建立和贯彻以明文规定的质量体系，作为保证系统符合技术要求的一种手段。</w:t>
      </w:r>
    </w:p>
    <w:p w14:paraId="2B3CF3A6">
      <w:pPr>
        <w:numPr>
          <w:ilvl w:val="0"/>
          <w:numId w:val="35"/>
        </w:numPr>
        <w:adjustRightInd w:val="0"/>
        <w:snapToGrid w:val="0"/>
        <w:rPr>
          <w:sz w:val="21"/>
          <w:szCs w:val="21"/>
        </w:rPr>
      </w:pPr>
      <w:r>
        <w:rPr>
          <w:sz w:val="21"/>
          <w:szCs w:val="21"/>
        </w:rPr>
        <w:t>投标人应向招标人提供现行、有效、成文的质量体系程序文件。</w:t>
      </w:r>
    </w:p>
    <w:p w14:paraId="6F13EB58">
      <w:pPr>
        <w:numPr>
          <w:ilvl w:val="0"/>
          <w:numId w:val="35"/>
        </w:numPr>
        <w:adjustRightInd w:val="0"/>
        <w:snapToGrid w:val="0"/>
        <w:rPr>
          <w:sz w:val="21"/>
          <w:szCs w:val="21"/>
        </w:rPr>
      </w:pPr>
      <w:r>
        <w:rPr>
          <w:sz w:val="21"/>
          <w:szCs w:val="21"/>
        </w:rPr>
        <w:t>质量体系程序文件应包括：系统设计、文件控制、设备采购生产、测试检验、包装运输、现场服务等。</w:t>
      </w:r>
    </w:p>
    <w:p w14:paraId="027CA53E">
      <w:pPr>
        <w:pStyle w:val="5"/>
        <w:rPr>
          <w:color w:val="auto"/>
          <w:szCs w:val="21"/>
        </w:rPr>
      </w:pPr>
      <w:r>
        <w:rPr>
          <w:color w:val="auto"/>
          <w:szCs w:val="21"/>
        </w:rPr>
        <w:t>所有相关质量保证文件应提交招标人，并随时接受招标人的审查。</w:t>
      </w:r>
    </w:p>
    <w:p w14:paraId="298B4016">
      <w:pPr>
        <w:pStyle w:val="4"/>
        <w:rPr>
          <w:sz w:val="21"/>
          <w:szCs w:val="21"/>
        </w:rPr>
      </w:pPr>
      <w:bookmarkStart w:id="1452" w:name="_Toc218143883"/>
      <w:bookmarkStart w:id="1453" w:name="_Toc218147602"/>
      <w:bookmarkStart w:id="1454" w:name="_Toc128138106"/>
      <w:bookmarkStart w:id="1455" w:name="_Toc128137428"/>
      <w:bookmarkStart w:id="1456" w:name="_Toc218144675"/>
      <w:bookmarkStart w:id="1457" w:name="_Toc128122939"/>
      <w:bookmarkStart w:id="1458" w:name="_Toc213407861"/>
      <w:bookmarkStart w:id="1459" w:name="_Toc128139618"/>
      <w:bookmarkStart w:id="1460" w:name="_Toc128120969"/>
      <w:bookmarkStart w:id="1461" w:name="_Toc20165"/>
      <w:bookmarkStart w:id="1462" w:name="_Toc128141018"/>
      <w:bookmarkStart w:id="1463" w:name="_Toc234326283"/>
      <w:bookmarkStart w:id="1464" w:name="_Toc218143452"/>
      <w:bookmarkStart w:id="1465" w:name="_Toc217105777"/>
      <w:bookmarkStart w:id="1466" w:name="_Toc234326015"/>
      <w:bookmarkStart w:id="1467" w:name="_Toc218144424"/>
      <w:bookmarkStart w:id="1468" w:name="_Toc128140026"/>
      <w:bookmarkStart w:id="1469" w:name="_Toc128138722"/>
      <w:bookmarkStart w:id="1470" w:name="_Toc214703964"/>
      <w:bookmarkStart w:id="1471" w:name="_Toc131867903"/>
      <w:bookmarkStart w:id="1472" w:name="_Toc218142192"/>
      <w:bookmarkStart w:id="1473" w:name="_Toc218145226"/>
      <w:bookmarkStart w:id="1474" w:name="_Toc237702921"/>
      <w:bookmarkStart w:id="1475" w:name="_Toc212875118"/>
      <w:bookmarkStart w:id="1476" w:name="_Toc234326819"/>
      <w:bookmarkStart w:id="1477" w:name="_Toc128223299"/>
      <w:bookmarkStart w:id="1478" w:name="_Toc218141690"/>
      <w:bookmarkStart w:id="1479" w:name="_Toc218147351"/>
      <w:bookmarkStart w:id="1480" w:name="_Toc128139337"/>
      <w:bookmarkStart w:id="1481" w:name="_Toc213477266"/>
      <w:bookmarkStart w:id="1482" w:name="_Toc218144173"/>
      <w:bookmarkStart w:id="1483" w:name="_Toc128140593"/>
      <w:bookmarkStart w:id="1484" w:name="_Toc231185181"/>
      <w:bookmarkStart w:id="1485" w:name="_Toc218144926"/>
      <w:bookmarkStart w:id="1486" w:name="_Toc128141495"/>
      <w:bookmarkStart w:id="1487" w:name="_Toc213477512"/>
      <w:bookmarkStart w:id="1488" w:name="_Toc212873926"/>
      <w:bookmarkStart w:id="1489" w:name="_Toc259981548"/>
      <w:bookmarkStart w:id="1490" w:name="_Toc130291574"/>
      <w:bookmarkStart w:id="1491" w:name="_Toc214704462"/>
      <w:bookmarkStart w:id="1492" w:name="_Toc218145808"/>
      <w:bookmarkStart w:id="1493" w:name="_Toc14552"/>
      <w:bookmarkStart w:id="1494" w:name="_Toc212869964"/>
      <w:bookmarkStart w:id="1495" w:name="_Toc215885560"/>
      <w:bookmarkStart w:id="1496" w:name="_Toc212872606"/>
      <w:bookmarkStart w:id="1497" w:name="_Toc290373439"/>
      <w:bookmarkStart w:id="1498" w:name="_Toc128138352"/>
      <w:bookmarkStart w:id="1499" w:name="_Toc128139124"/>
      <w:bookmarkStart w:id="1500" w:name="_Toc215889473"/>
      <w:bookmarkStart w:id="1501" w:name="_Toc234326551"/>
      <w:bookmarkStart w:id="1502" w:name="_Toc214704213"/>
      <w:bookmarkStart w:id="1503" w:name="_Toc218141222"/>
      <w:bookmarkStart w:id="1504" w:name="_Toc128141196"/>
      <w:bookmarkStart w:id="1505" w:name="_Toc218141941"/>
      <w:r>
        <w:rPr>
          <w:sz w:val="21"/>
          <w:szCs w:val="21"/>
        </w:rPr>
        <w:t>质保期服务</w:t>
      </w:r>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p>
    <w:p w14:paraId="1CBCA338">
      <w:pPr>
        <w:pStyle w:val="5"/>
        <w:rPr>
          <w:color w:val="auto"/>
          <w:szCs w:val="21"/>
        </w:rPr>
      </w:pPr>
      <w:r>
        <w:rPr>
          <w:color w:val="auto"/>
          <w:szCs w:val="21"/>
        </w:rPr>
        <w:t>产品的质量保证期为</w:t>
      </w:r>
      <w:r>
        <w:rPr>
          <w:rFonts w:hint="eastAsia"/>
          <w:color w:val="auto"/>
          <w:szCs w:val="21"/>
        </w:rPr>
        <w:t>3</w:t>
      </w:r>
      <w:r>
        <w:rPr>
          <w:color w:val="auto"/>
          <w:szCs w:val="21"/>
        </w:rPr>
        <w:t>年，自系统工程竣工验收</w:t>
      </w:r>
      <w:r>
        <w:rPr>
          <w:rFonts w:hint="eastAsia"/>
          <w:color w:val="auto"/>
          <w:szCs w:val="21"/>
        </w:rPr>
        <w:t>合格</w:t>
      </w:r>
      <w:r>
        <w:rPr>
          <w:color w:val="auto"/>
          <w:szCs w:val="21"/>
        </w:rPr>
        <w:t>之日起计算。在质保期间，投标人负责免费更换故障设备、消除系统或设备本身的缺陷或不足部分。若投标人在约定的质保期内未能完成本招标</w:t>
      </w:r>
      <w:r>
        <w:rPr>
          <w:rFonts w:hint="eastAsia"/>
          <w:color w:val="auto"/>
          <w:szCs w:val="21"/>
        </w:rPr>
        <w:t>文件</w:t>
      </w:r>
      <w:r>
        <w:rPr>
          <w:color w:val="auto"/>
          <w:szCs w:val="21"/>
        </w:rPr>
        <w:t>的全部要求，则质保期须待投标人全部完成本招标</w:t>
      </w:r>
      <w:r>
        <w:rPr>
          <w:rFonts w:hint="eastAsia"/>
          <w:color w:val="auto"/>
          <w:szCs w:val="21"/>
        </w:rPr>
        <w:t>文件</w:t>
      </w:r>
      <w:r>
        <w:rPr>
          <w:color w:val="auto"/>
          <w:szCs w:val="21"/>
        </w:rPr>
        <w:t>中的各项要求后方可结束。</w:t>
      </w:r>
    </w:p>
    <w:p w14:paraId="6ED30341">
      <w:pPr>
        <w:pStyle w:val="5"/>
        <w:rPr>
          <w:color w:val="auto"/>
          <w:szCs w:val="21"/>
        </w:rPr>
      </w:pPr>
      <w:r>
        <w:rPr>
          <w:color w:val="auto"/>
          <w:szCs w:val="21"/>
        </w:rPr>
        <w:t>投标人在其投标文件中应对其提供的设备、接口及系统功能（含说明书）、所有软件（含说明书）、硬件（含说明书）和固件就以下项目进行说明：</w:t>
      </w:r>
    </w:p>
    <w:p w14:paraId="73A84722">
      <w:pPr>
        <w:numPr>
          <w:ilvl w:val="0"/>
          <w:numId w:val="35"/>
        </w:numPr>
        <w:adjustRightInd w:val="0"/>
        <w:snapToGrid w:val="0"/>
        <w:rPr>
          <w:sz w:val="21"/>
          <w:szCs w:val="21"/>
        </w:rPr>
      </w:pPr>
      <w:r>
        <w:rPr>
          <w:sz w:val="21"/>
          <w:szCs w:val="21"/>
        </w:rPr>
        <w:t>质保期内故障设备的更换和修复的处置程序以及进度保障措施（也应包括回访处理、技术支持和硬件保证等方面的可行承诺）；</w:t>
      </w:r>
    </w:p>
    <w:p w14:paraId="39F4F4D1">
      <w:pPr>
        <w:numPr>
          <w:ilvl w:val="0"/>
          <w:numId w:val="35"/>
        </w:numPr>
        <w:adjustRightInd w:val="0"/>
        <w:snapToGrid w:val="0"/>
        <w:rPr>
          <w:sz w:val="21"/>
          <w:szCs w:val="21"/>
        </w:rPr>
      </w:pPr>
      <w:r>
        <w:rPr>
          <w:sz w:val="21"/>
          <w:szCs w:val="21"/>
        </w:rPr>
        <w:t>投标人在系统故障时的修复程序与进度保障措施；</w:t>
      </w:r>
    </w:p>
    <w:p w14:paraId="2D7F4853">
      <w:pPr>
        <w:numPr>
          <w:ilvl w:val="0"/>
          <w:numId w:val="35"/>
        </w:numPr>
        <w:adjustRightInd w:val="0"/>
        <w:snapToGrid w:val="0"/>
        <w:rPr>
          <w:sz w:val="21"/>
          <w:szCs w:val="21"/>
        </w:rPr>
      </w:pPr>
      <w:r>
        <w:rPr>
          <w:sz w:val="21"/>
          <w:szCs w:val="21"/>
        </w:rPr>
        <w:t>系统或某功能/设备/部件不断出现故障时，投标人的技术和进度保证措施及处置程序；</w:t>
      </w:r>
    </w:p>
    <w:p w14:paraId="261E41E7">
      <w:pPr>
        <w:numPr>
          <w:ilvl w:val="0"/>
          <w:numId w:val="35"/>
        </w:numPr>
        <w:adjustRightInd w:val="0"/>
        <w:snapToGrid w:val="0"/>
        <w:rPr>
          <w:sz w:val="21"/>
          <w:szCs w:val="21"/>
        </w:rPr>
      </w:pPr>
      <w:r>
        <w:rPr>
          <w:sz w:val="21"/>
          <w:szCs w:val="21"/>
        </w:rPr>
        <w:t>质保期内软件及文件缺失的补足程序和进度保证措施。</w:t>
      </w:r>
    </w:p>
    <w:p w14:paraId="01950C82">
      <w:pPr>
        <w:pStyle w:val="5"/>
        <w:rPr>
          <w:color w:val="auto"/>
          <w:szCs w:val="21"/>
        </w:rPr>
      </w:pPr>
      <w:r>
        <w:rPr>
          <w:color w:val="auto"/>
          <w:szCs w:val="21"/>
        </w:rPr>
        <w:t>投标人必须在质保期内安排人员在现场为本项目作质保期服务，处理本项目质保期间出现的问题。</w:t>
      </w:r>
    </w:p>
    <w:p w14:paraId="04EDEBAA">
      <w:pPr>
        <w:pStyle w:val="5"/>
        <w:rPr>
          <w:color w:val="auto"/>
          <w:szCs w:val="21"/>
        </w:rPr>
      </w:pPr>
      <w:r>
        <w:rPr>
          <w:rFonts w:ascii="仿宋" w:hAnsi="仿宋" w:cs="仿宋"/>
          <w:color w:val="auto"/>
          <w:kern w:val="0"/>
          <w:szCs w:val="21"/>
        </w:rPr>
        <w:t>质量保证的内容及义务</w:t>
      </w:r>
    </w:p>
    <w:p w14:paraId="5FC00DA9">
      <w:pPr>
        <w:pStyle w:val="1221"/>
        <w:jc w:val="both"/>
        <w:rPr>
          <w:szCs w:val="21"/>
        </w:rPr>
      </w:pPr>
      <w:r>
        <w:rPr>
          <w:kern w:val="0"/>
          <w:szCs w:val="21"/>
        </w:rPr>
        <w:t>在质量保证期内，</w:t>
      </w:r>
      <w:r>
        <w:rPr>
          <w:rFonts w:hint="eastAsia"/>
          <w:kern w:val="0"/>
          <w:szCs w:val="21"/>
        </w:rPr>
        <w:t>投标人必须执行以下规定：</w:t>
      </w:r>
    </w:p>
    <w:p w14:paraId="40DCD852">
      <w:pPr>
        <w:numPr>
          <w:ilvl w:val="0"/>
          <w:numId w:val="35"/>
        </w:numPr>
        <w:adjustRightInd w:val="0"/>
        <w:snapToGrid w:val="0"/>
        <w:rPr>
          <w:sz w:val="21"/>
          <w:szCs w:val="21"/>
        </w:rPr>
      </w:pPr>
      <w:r>
        <w:rPr>
          <w:rFonts w:hint="eastAsia"/>
          <w:sz w:val="21"/>
          <w:szCs w:val="21"/>
        </w:rPr>
        <w:t>提供上门维保。</w:t>
      </w:r>
    </w:p>
    <w:p w14:paraId="011DFA70">
      <w:pPr>
        <w:numPr>
          <w:ilvl w:val="0"/>
          <w:numId w:val="35"/>
        </w:numPr>
        <w:adjustRightInd w:val="0"/>
        <w:snapToGrid w:val="0"/>
        <w:rPr>
          <w:sz w:val="21"/>
          <w:szCs w:val="21"/>
        </w:rPr>
      </w:pPr>
      <w:r>
        <w:rPr>
          <w:sz w:val="21"/>
          <w:szCs w:val="21"/>
        </w:rPr>
        <w:t>保证故障清查和排除；</w:t>
      </w:r>
    </w:p>
    <w:p w14:paraId="762DEC96">
      <w:pPr>
        <w:numPr>
          <w:ilvl w:val="0"/>
          <w:numId w:val="35"/>
        </w:numPr>
        <w:adjustRightInd w:val="0"/>
        <w:snapToGrid w:val="0"/>
        <w:rPr>
          <w:sz w:val="21"/>
          <w:szCs w:val="21"/>
        </w:rPr>
      </w:pPr>
      <w:r>
        <w:rPr>
          <w:sz w:val="21"/>
          <w:szCs w:val="21"/>
        </w:rPr>
        <w:t>保证更换出现异常而不符合本《用户需求书》或</w:t>
      </w:r>
      <w:r>
        <w:rPr>
          <w:rFonts w:hint="eastAsia"/>
          <w:sz w:val="21"/>
          <w:szCs w:val="21"/>
          <w:lang w:eastAsia="zh-CN"/>
        </w:rPr>
        <w:t>相关</w:t>
      </w:r>
      <w:r>
        <w:rPr>
          <w:sz w:val="21"/>
          <w:szCs w:val="21"/>
        </w:rPr>
        <w:t>文件要求的部件；</w:t>
      </w:r>
    </w:p>
    <w:p w14:paraId="7384CA1B">
      <w:pPr>
        <w:numPr>
          <w:ilvl w:val="0"/>
          <w:numId w:val="35"/>
        </w:numPr>
        <w:adjustRightInd w:val="0"/>
        <w:snapToGrid w:val="0"/>
        <w:rPr>
          <w:sz w:val="21"/>
          <w:szCs w:val="21"/>
        </w:rPr>
      </w:pPr>
      <w:r>
        <w:rPr>
          <w:sz w:val="21"/>
          <w:szCs w:val="21"/>
        </w:rPr>
        <w:t>如果发现的异常问题反复出现，则应进行调查研究</w:t>
      </w:r>
      <w:r>
        <w:rPr>
          <w:rFonts w:hint="eastAsia"/>
          <w:sz w:val="21"/>
          <w:szCs w:val="21"/>
        </w:rPr>
        <w:t>，并根据研究的结果进行整改以使其符合要求；</w:t>
      </w:r>
    </w:p>
    <w:p w14:paraId="5CEB9C74">
      <w:pPr>
        <w:numPr>
          <w:ilvl w:val="0"/>
          <w:numId w:val="35"/>
        </w:numPr>
        <w:adjustRightInd w:val="0"/>
        <w:snapToGrid w:val="0"/>
        <w:rPr>
          <w:sz w:val="21"/>
          <w:szCs w:val="21"/>
        </w:rPr>
      </w:pPr>
      <w:r>
        <w:rPr>
          <w:sz w:val="21"/>
          <w:szCs w:val="21"/>
        </w:rPr>
        <w:t>提供用于丰富</w:t>
      </w:r>
      <w:r>
        <w:rPr>
          <w:rFonts w:hint="eastAsia"/>
          <w:sz w:val="21"/>
          <w:szCs w:val="21"/>
        </w:rPr>
        <w:t>系统的资料，以便随时了解本系统的状态。</w:t>
      </w:r>
    </w:p>
    <w:p w14:paraId="593ABCA8">
      <w:pPr>
        <w:pStyle w:val="1221"/>
        <w:jc w:val="both"/>
        <w:rPr>
          <w:szCs w:val="21"/>
        </w:rPr>
      </w:pPr>
      <w:r>
        <w:rPr>
          <w:szCs w:val="21"/>
        </w:rPr>
        <w:t>在质量保证期内，如果</w:t>
      </w:r>
      <w:r>
        <w:rPr>
          <w:rFonts w:hint="eastAsia"/>
          <w:szCs w:val="21"/>
        </w:rPr>
        <w:t>因下列原因导致系统设备发生故障。投标人应提供符合要求的零部件替换相同功能的全部零部件，且费用由投标方承担。</w:t>
      </w:r>
    </w:p>
    <w:p w14:paraId="0F3F2DB7">
      <w:pPr>
        <w:numPr>
          <w:ilvl w:val="0"/>
          <w:numId w:val="35"/>
        </w:numPr>
        <w:adjustRightInd w:val="0"/>
        <w:snapToGrid w:val="0"/>
        <w:rPr>
          <w:sz w:val="21"/>
          <w:szCs w:val="21"/>
        </w:rPr>
      </w:pPr>
      <w:r>
        <w:rPr>
          <w:rFonts w:hint="eastAsia"/>
          <w:sz w:val="21"/>
          <w:szCs w:val="21"/>
        </w:rPr>
        <w:t>材料质量问题；</w:t>
      </w:r>
    </w:p>
    <w:p w14:paraId="0B27B3CB">
      <w:pPr>
        <w:numPr>
          <w:ilvl w:val="0"/>
          <w:numId w:val="35"/>
        </w:numPr>
        <w:adjustRightInd w:val="0"/>
        <w:snapToGrid w:val="0"/>
        <w:rPr>
          <w:sz w:val="21"/>
          <w:szCs w:val="21"/>
        </w:rPr>
      </w:pPr>
      <w:r>
        <w:rPr>
          <w:rFonts w:hint="eastAsia"/>
          <w:sz w:val="21"/>
          <w:szCs w:val="21"/>
        </w:rPr>
        <w:t>零部件设计和生产中出现的严重缺陷；</w:t>
      </w:r>
    </w:p>
    <w:p w14:paraId="6A5D1544">
      <w:pPr>
        <w:pStyle w:val="1221"/>
        <w:numPr>
          <w:ilvl w:val="0"/>
          <w:numId w:val="36"/>
        </w:numPr>
        <w:rPr>
          <w:kern w:val="0"/>
          <w:szCs w:val="21"/>
        </w:rPr>
      </w:pPr>
      <w:r>
        <w:rPr>
          <w:rFonts w:hint="eastAsia"/>
          <w:kern w:val="0"/>
          <w:szCs w:val="21"/>
        </w:rPr>
        <w:t>对某些零部件（最小可更换单元）的更换和修理超过同类型号零部件中的更换率。投标人在投标文件中注明各种零部件的更换率。</w:t>
      </w:r>
    </w:p>
    <w:p w14:paraId="47428378">
      <w:pPr>
        <w:pStyle w:val="5"/>
        <w:rPr>
          <w:color w:val="auto"/>
          <w:szCs w:val="21"/>
        </w:rPr>
      </w:pPr>
      <w:r>
        <w:rPr>
          <w:color w:val="auto"/>
          <w:szCs w:val="21"/>
        </w:rPr>
        <w:t>如系统出现重大故障，投标人必须在接到招标人通知的2小时内派有关人员赴现场处理问题。</w:t>
      </w:r>
    </w:p>
    <w:p w14:paraId="05132593">
      <w:pPr>
        <w:pStyle w:val="5"/>
        <w:rPr>
          <w:color w:val="auto"/>
          <w:szCs w:val="21"/>
        </w:rPr>
      </w:pPr>
      <w:r>
        <w:rPr>
          <w:rFonts w:hint="eastAsia"/>
          <w:color w:val="auto"/>
          <w:szCs w:val="21"/>
        </w:rPr>
        <w:t>投标人须书面承诺质保期的各种安排。</w:t>
      </w:r>
    </w:p>
    <w:p w14:paraId="094A64B9">
      <w:pPr>
        <w:pStyle w:val="5"/>
        <w:rPr>
          <w:color w:val="auto"/>
          <w:szCs w:val="21"/>
        </w:rPr>
      </w:pPr>
      <w:r>
        <w:rPr>
          <w:rFonts w:hint="eastAsia"/>
          <w:color w:val="auto"/>
          <w:szCs w:val="21"/>
        </w:rPr>
        <w:t>无条件接受招标人在质保期间的服务质量考核</w:t>
      </w:r>
      <w:r>
        <w:rPr>
          <w:color w:val="auto"/>
          <w:szCs w:val="21"/>
        </w:rPr>
        <w:t>。</w:t>
      </w:r>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Start w:id="1506" w:name="_Toc128120978"/>
      <w:bookmarkStart w:id="1507" w:name="_Toc128139346"/>
      <w:bookmarkStart w:id="1508" w:name="_Toc214704222"/>
      <w:bookmarkStart w:id="1509" w:name="_Toc128139627"/>
      <w:bookmarkStart w:id="1510" w:name="_Toc214704471"/>
      <w:bookmarkStart w:id="1511" w:name="_Toc128137437"/>
      <w:bookmarkStart w:id="1512" w:name="_Toc128141027"/>
      <w:bookmarkStart w:id="1513" w:name="_Toc212873935"/>
      <w:bookmarkStart w:id="1514" w:name="_Toc128122948"/>
      <w:bookmarkStart w:id="1515" w:name="_Toc128139133"/>
      <w:bookmarkStart w:id="1516" w:name="_Toc212872615"/>
      <w:bookmarkStart w:id="1517" w:name="_Toc213406571"/>
      <w:bookmarkStart w:id="1518" w:name="_Toc212875127"/>
      <w:bookmarkStart w:id="1519" w:name="_Toc128141504"/>
      <w:bookmarkStart w:id="1520" w:name="_Toc128138731"/>
      <w:bookmarkStart w:id="1521" w:name="_Toc212869973"/>
      <w:bookmarkStart w:id="1522" w:name="_Toc214703973"/>
      <w:bookmarkStart w:id="1523" w:name="_Toc128138361"/>
      <w:bookmarkStart w:id="1524" w:name="_Toc128140035"/>
      <w:bookmarkStart w:id="1525" w:name="_Toc128223308"/>
      <w:bookmarkStart w:id="1526" w:name="_Toc213477275"/>
      <w:bookmarkStart w:id="1527" w:name="_Toc128141205"/>
      <w:bookmarkStart w:id="1528" w:name="_Toc213407870"/>
      <w:bookmarkStart w:id="1529" w:name="_Toc131867912"/>
      <w:bookmarkStart w:id="1530" w:name="_Toc128137853"/>
      <w:bookmarkStart w:id="1531" w:name="_Toc213477521"/>
      <w:bookmarkStart w:id="1532" w:name="_Toc128138115"/>
      <w:bookmarkStart w:id="1533" w:name="_Toc128140602"/>
      <w:bookmarkStart w:id="1534" w:name="_Toc130291583"/>
    </w:p>
    <w:p w14:paraId="0BE5A554">
      <w:pPr>
        <w:pStyle w:val="5"/>
        <w:rPr>
          <w:color w:val="auto"/>
          <w:szCs w:val="21"/>
        </w:rPr>
      </w:pPr>
      <w:r>
        <w:rPr>
          <w:rFonts w:hint="eastAsia"/>
          <w:color w:val="auto"/>
          <w:szCs w:val="21"/>
        </w:rPr>
        <w:t>在质量保证期第一年投标人还应承担以下工作，相关费用包含在合同总价内。</w:t>
      </w:r>
    </w:p>
    <w:p w14:paraId="17B2DE4D">
      <w:pPr>
        <w:widowControl/>
        <w:numPr>
          <w:ilvl w:val="0"/>
          <w:numId w:val="37"/>
        </w:numPr>
        <w:adjustRightInd w:val="0"/>
        <w:snapToGrid w:val="0"/>
        <w:ind w:hanging="562"/>
        <w:jc w:val="both"/>
        <w:rPr>
          <w:sz w:val="21"/>
          <w:szCs w:val="21"/>
        </w:rPr>
      </w:pPr>
      <w:r>
        <w:rPr>
          <w:rFonts w:hint="eastAsia"/>
          <w:sz w:val="21"/>
          <w:szCs w:val="21"/>
        </w:rPr>
        <w:t>投标人的派出人员要满足运营的要求，应包括参与完成本项目安装调试工作方面具有互联网网络管理、网络信息安全及机房维护等相关经验</w:t>
      </w:r>
      <w:r>
        <w:rPr>
          <w:sz w:val="21"/>
          <w:szCs w:val="21"/>
        </w:rPr>
        <w:t>3</w:t>
      </w:r>
      <w:r>
        <w:rPr>
          <w:rFonts w:hint="eastAsia"/>
          <w:sz w:val="21"/>
          <w:szCs w:val="21"/>
        </w:rPr>
        <w:t>年及以上的技术人员。</w:t>
      </w:r>
    </w:p>
    <w:p w14:paraId="36F4123E">
      <w:pPr>
        <w:widowControl/>
        <w:numPr>
          <w:ilvl w:val="0"/>
          <w:numId w:val="37"/>
        </w:numPr>
        <w:adjustRightInd w:val="0"/>
        <w:snapToGrid w:val="0"/>
        <w:ind w:hanging="562"/>
        <w:jc w:val="both"/>
        <w:rPr>
          <w:sz w:val="21"/>
          <w:szCs w:val="21"/>
        </w:rPr>
      </w:pPr>
      <w:r>
        <w:rPr>
          <w:rFonts w:hint="eastAsia"/>
          <w:sz w:val="21"/>
          <w:szCs w:val="21"/>
        </w:rPr>
        <w:t>投标人应在质保期开始前将拟派出人员资料（包括但不限于：人员的基本情况、学历、工作业绩、职称、专业技术资格证书等）报招标人审核，通过审核后，才能作为运营维护人员。如果投标人拟派出的人员，不能满足招标人的要求，招标人有权从参与本项目建设表现优秀的人员中挑选，投标人不得以任何理由拒绝。</w:t>
      </w:r>
    </w:p>
    <w:p w14:paraId="173FBD0F">
      <w:pPr>
        <w:widowControl/>
        <w:numPr>
          <w:ilvl w:val="0"/>
          <w:numId w:val="37"/>
        </w:numPr>
        <w:adjustRightInd w:val="0"/>
        <w:snapToGrid w:val="0"/>
        <w:ind w:hanging="562"/>
        <w:jc w:val="both"/>
        <w:rPr>
          <w:sz w:val="21"/>
          <w:szCs w:val="21"/>
        </w:rPr>
      </w:pPr>
      <w:r>
        <w:rPr>
          <w:rFonts w:hint="eastAsia"/>
          <w:sz w:val="21"/>
          <w:szCs w:val="21"/>
        </w:rPr>
        <w:t>投标人所有担任维护工作的员工应遵守招标人所确定安全作业程序，并按招标人要求进行训练和参加有关考试，合格后方可上岗工作。</w:t>
      </w:r>
    </w:p>
    <w:p w14:paraId="05B95A1C">
      <w:pPr>
        <w:widowControl/>
        <w:numPr>
          <w:ilvl w:val="0"/>
          <w:numId w:val="37"/>
        </w:numPr>
        <w:adjustRightInd w:val="0"/>
        <w:snapToGrid w:val="0"/>
        <w:ind w:hanging="562"/>
        <w:jc w:val="both"/>
        <w:rPr>
          <w:sz w:val="21"/>
          <w:szCs w:val="21"/>
        </w:rPr>
      </w:pPr>
      <w:r>
        <w:rPr>
          <w:rFonts w:hint="eastAsia"/>
          <w:sz w:val="21"/>
          <w:szCs w:val="21"/>
        </w:rPr>
        <w:t>投标人所有担任维护工作的员工需自备作业工具及安全设备，并负责提供完成维护作业所必须的辅助材料。</w:t>
      </w:r>
    </w:p>
    <w:p w14:paraId="4B7960BE">
      <w:pPr>
        <w:widowControl/>
        <w:numPr>
          <w:ilvl w:val="0"/>
          <w:numId w:val="37"/>
        </w:numPr>
        <w:adjustRightInd w:val="0"/>
        <w:snapToGrid w:val="0"/>
        <w:ind w:hanging="562"/>
        <w:jc w:val="both"/>
        <w:rPr>
          <w:sz w:val="21"/>
          <w:szCs w:val="21"/>
        </w:rPr>
      </w:pPr>
      <w:r>
        <w:rPr>
          <w:rFonts w:hint="eastAsia"/>
          <w:sz w:val="21"/>
          <w:szCs w:val="21"/>
        </w:rPr>
        <w:t>投标人需为其维修工作自备材料及备品备件，且投标人提供的维护用设备、材料的技术规格不能低于正在使用或将被替换的产品。</w:t>
      </w:r>
    </w:p>
    <w:p w14:paraId="3A66A8C1">
      <w:pPr>
        <w:widowControl/>
        <w:numPr>
          <w:ilvl w:val="0"/>
          <w:numId w:val="37"/>
        </w:numPr>
        <w:adjustRightInd w:val="0"/>
        <w:snapToGrid w:val="0"/>
        <w:ind w:hanging="562"/>
        <w:jc w:val="both"/>
        <w:rPr>
          <w:sz w:val="21"/>
          <w:szCs w:val="21"/>
        </w:rPr>
      </w:pPr>
      <w:r>
        <w:rPr>
          <w:rFonts w:hint="eastAsia"/>
          <w:sz w:val="21"/>
          <w:szCs w:val="21"/>
        </w:rPr>
        <w:t>投标人必须根据招标人（或最终用户）的管理规定、要求提交质保期维护工作的工作程序及计划，供招标人（或最终用户）审批。</w:t>
      </w:r>
    </w:p>
    <w:p w14:paraId="1DA4A213">
      <w:pPr>
        <w:widowControl/>
        <w:numPr>
          <w:ilvl w:val="0"/>
          <w:numId w:val="37"/>
        </w:numPr>
        <w:adjustRightInd w:val="0"/>
        <w:snapToGrid w:val="0"/>
        <w:ind w:hanging="562"/>
        <w:jc w:val="both"/>
        <w:rPr>
          <w:sz w:val="21"/>
          <w:szCs w:val="21"/>
        </w:rPr>
      </w:pPr>
      <w:r>
        <w:rPr>
          <w:rFonts w:hint="eastAsia"/>
          <w:sz w:val="21"/>
          <w:szCs w:val="21"/>
        </w:rPr>
        <w:t>投标人须根据招标人（或最终用户）的管理规定要求与招标人一同进行安全及维护巡查，投标人的维护服务应达到招标人的要求。投标人须根据招标人（或最终用户）的管理规定要求提交安全及维护报告。</w:t>
      </w:r>
    </w:p>
    <w:p w14:paraId="4F351E07">
      <w:pPr>
        <w:widowControl/>
        <w:numPr>
          <w:ilvl w:val="0"/>
          <w:numId w:val="37"/>
        </w:numPr>
        <w:adjustRightInd w:val="0"/>
        <w:snapToGrid w:val="0"/>
        <w:ind w:hanging="562"/>
        <w:jc w:val="both"/>
        <w:rPr>
          <w:sz w:val="21"/>
          <w:szCs w:val="21"/>
        </w:rPr>
      </w:pPr>
      <w:r>
        <w:rPr>
          <w:rFonts w:hint="eastAsia"/>
          <w:sz w:val="21"/>
          <w:szCs w:val="21"/>
        </w:rPr>
        <w:t>维护工作必须经相关运营人员批准，并严格遵守运营方的相关规章制度。</w:t>
      </w:r>
    </w:p>
    <w:p w14:paraId="35BEB4A2">
      <w:pPr>
        <w:widowControl/>
        <w:numPr>
          <w:ilvl w:val="0"/>
          <w:numId w:val="37"/>
        </w:numPr>
        <w:adjustRightInd w:val="0"/>
        <w:snapToGrid w:val="0"/>
        <w:ind w:hanging="562"/>
        <w:jc w:val="both"/>
        <w:rPr>
          <w:sz w:val="21"/>
          <w:szCs w:val="21"/>
        </w:rPr>
      </w:pPr>
      <w:r>
        <w:rPr>
          <w:rFonts w:hint="eastAsia"/>
          <w:sz w:val="21"/>
          <w:szCs w:val="21"/>
        </w:rPr>
        <w:t>投标人必须于每次工作后负责清理现场，使工作地点保持整洁，符合最终用户的要求。</w:t>
      </w:r>
    </w:p>
    <w:p w14:paraId="286B8788">
      <w:pPr>
        <w:widowControl/>
        <w:numPr>
          <w:ilvl w:val="0"/>
          <w:numId w:val="37"/>
        </w:numPr>
        <w:adjustRightInd w:val="0"/>
        <w:snapToGrid w:val="0"/>
        <w:ind w:hanging="562"/>
        <w:jc w:val="both"/>
        <w:rPr>
          <w:sz w:val="21"/>
          <w:szCs w:val="21"/>
        </w:rPr>
      </w:pPr>
      <w:r>
        <w:rPr>
          <w:rFonts w:hint="eastAsia"/>
          <w:sz w:val="21"/>
          <w:szCs w:val="21"/>
        </w:rPr>
        <w:t>投标人须按招标人（或最终用户）的管理规定的要求将所有维护纪录整理、存档并提交给最终用户。</w:t>
      </w:r>
    </w:p>
    <w:p w14:paraId="718BEA7E">
      <w:pPr>
        <w:sectPr>
          <w:pgSz w:w="11906" w:h="16838"/>
          <w:pgMar w:top="1418" w:right="1418" w:bottom="1418" w:left="1418" w:header="851" w:footer="851" w:gutter="0"/>
          <w:cols w:space="720" w:num="1"/>
          <w:docGrid w:linePitch="312" w:charSpace="0"/>
        </w:sectPr>
      </w:pPr>
    </w:p>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p w14:paraId="0BFA4E6E">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1535" w:name="_Toc128138362"/>
      <w:bookmarkStart w:id="1536" w:name="_Toc234326561"/>
      <w:bookmarkStart w:id="1537" w:name="_Toc217105787"/>
      <w:bookmarkStart w:id="1538" w:name="_Toc128141505"/>
      <w:bookmarkStart w:id="1539" w:name="_Toc218143462"/>
      <w:bookmarkStart w:id="1540" w:name="_Toc128140036"/>
      <w:bookmarkStart w:id="1541" w:name="_Toc218144183"/>
      <w:bookmarkStart w:id="1542" w:name="_Toc130291584"/>
      <w:bookmarkStart w:id="1543" w:name="_Toc215889483"/>
      <w:bookmarkStart w:id="1544" w:name="_Toc218147612"/>
      <w:bookmarkStart w:id="1545" w:name="_Toc218144685"/>
      <w:bookmarkStart w:id="1546" w:name="_Toc128121080"/>
      <w:bookmarkStart w:id="1547" w:name="_Toc214704223"/>
      <w:bookmarkStart w:id="1548" w:name="_Toc128139134"/>
      <w:bookmarkStart w:id="1549" w:name="_Toc131867913"/>
      <w:bookmarkStart w:id="1550" w:name="_Toc218147361"/>
      <w:bookmarkStart w:id="1551" w:name="_Toc222816884"/>
      <w:bookmarkStart w:id="1552" w:name="_Toc218141232"/>
      <w:bookmarkStart w:id="1553" w:name="_Toc128122949"/>
      <w:bookmarkStart w:id="1554" w:name="_Toc128138732"/>
      <w:bookmarkStart w:id="1555" w:name="_Toc128141206"/>
      <w:bookmarkStart w:id="1556" w:name="_Toc234325807"/>
      <w:bookmarkStart w:id="1557" w:name="_Toc128139347"/>
      <w:bookmarkStart w:id="1558" w:name="_Toc128137854"/>
      <w:bookmarkStart w:id="1559" w:name="_Toc128139628"/>
      <w:bookmarkStart w:id="1560" w:name="_Toc234326829"/>
      <w:bookmarkStart w:id="1561" w:name="_Toc218144936"/>
      <w:bookmarkStart w:id="1562" w:name="_Toc234326025"/>
      <w:bookmarkStart w:id="1563" w:name="_Toc24078"/>
      <w:bookmarkStart w:id="1564" w:name="_Toc218145818"/>
      <w:bookmarkStart w:id="1565" w:name="_Toc214703974"/>
      <w:bookmarkStart w:id="1566" w:name="_Toc128120979"/>
      <w:bookmarkStart w:id="1567" w:name="_Toc218144434"/>
      <w:bookmarkStart w:id="1568" w:name="_Toc128138116"/>
      <w:bookmarkStart w:id="1569" w:name="_Toc218141951"/>
      <w:bookmarkStart w:id="1570" w:name="_Toc237702931"/>
      <w:bookmarkStart w:id="1571" w:name="_Toc128137438"/>
      <w:bookmarkStart w:id="1572" w:name="_Toc290373449"/>
      <w:bookmarkStart w:id="1573" w:name="_Toc2992"/>
      <w:bookmarkStart w:id="1574" w:name="_Toc128223309"/>
      <w:bookmarkStart w:id="1575" w:name="_Toc214704472"/>
      <w:bookmarkStart w:id="1576" w:name="_Toc234326293"/>
      <w:bookmarkStart w:id="1577" w:name="_Toc259981558"/>
      <w:bookmarkStart w:id="1578" w:name="_Toc215885570"/>
      <w:bookmarkStart w:id="1579" w:name="_Toc231185191"/>
      <w:bookmarkStart w:id="1580" w:name="_Toc218143893"/>
      <w:bookmarkStart w:id="1581" w:name="_Toc128141028"/>
      <w:bookmarkStart w:id="1582" w:name="_Toc218142202"/>
      <w:bookmarkStart w:id="1583" w:name="_Toc218145236"/>
      <w:bookmarkStart w:id="1584" w:name="_Toc128140603"/>
      <w:bookmarkStart w:id="1585" w:name="_Toc130876958"/>
      <w:bookmarkStart w:id="1586" w:name="_Toc218141700"/>
      <w:r>
        <w:rPr>
          <w:rFonts w:ascii="Times New Roman" w:hAnsi="Times New Roman" w:eastAsia="宋体"/>
          <w:b/>
          <w:bCs/>
          <w:sz w:val="21"/>
          <w:szCs w:val="21"/>
        </w:rPr>
        <w:t>测试、检验及验收</w:t>
      </w:r>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p>
    <w:p w14:paraId="3DDCE056">
      <w:pPr>
        <w:pStyle w:val="4"/>
        <w:rPr>
          <w:sz w:val="21"/>
          <w:szCs w:val="21"/>
        </w:rPr>
      </w:pPr>
      <w:bookmarkStart w:id="1587" w:name="_Toc218143894"/>
      <w:bookmarkStart w:id="1588" w:name="_Toc128140604"/>
      <w:bookmarkStart w:id="1589" w:name="_Toc128137855"/>
      <w:bookmarkStart w:id="1590" w:name="_Toc128122950"/>
      <w:bookmarkStart w:id="1591" w:name="_Toc128223310"/>
      <w:bookmarkStart w:id="1592" w:name="_Toc259981559"/>
      <w:bookmarkStart w:id="1593" w:name="_Toc128137439"/>
      <w:bookmarkStart w:id="1594" w:name="_Toc218141701"/>
      <w:bookmarkStart w:id="1595" w:name="_Toc214703975"/>
      <w:bookmarkStart w:id="1596" w:name="_Toc215889484"/>
      <w:bookmarkStart w:id="1597" w:name="_Toc24243"/>
      <w:bookmarkStart w:id="1598" w:name="_Toc212875128"/>
      <w:bookmarkStart w:id="1599" w:name="_Toc128120980"/>
      <w:bookmarkStart w:id="1600" w:name="_Toc131867914"/>
      <w:bookmarkStart w:id="1601" w:name="_Toc212869974"/>
      <w:bookmarkStart w:id="1602" w:name="_Toc218144435"/>
      <w:bookmarkStart w:id="1603" w:name="_Toc218144184"/>
      <w:bookmarkStart w:id="1604" w:name="_Toc128139135"/>
      <w:bookmarkStart w:id="1605" w:name="_Toc213407871"/>
      <w:bookmarkStart w:id="1606" w:name="_Toc218144937"/>
      <w:bookmarkStart w:id="1607" w:name="_Toc212872616"/>
      <w:bookmarkStart w:id="1608" w:name="_Toc128141207"/>
      <w:bookmarkStart w:id="1609" w:name="_Toc128138117"/>
      <w:bookmarkStart w:id="1610" w:name="_Toc128138733"/>
      <w:bookmarkStart w:id="1611" w:name="_Toc212873936"/>
      <w:bookmarkStart w:id="1612" w:name="_Toc130291585"/>
      <w:bookmarkStart w:id="1613" w:name="_Toc214704473"/>
      <w:bookmarkStart w:id="1614" w:name="_Toc237702932"/>
      <w:bookmarkStart w:id="1615" w:name="_Toc215885571"/>
      <w:bookmarkStart w:id="1616" w:name="_Toc213477276"/>
      <w:bookmarkStart w:id="1617" w:name="_Toc218141952"/>
      <w:bookmarkStart w:id="1618" w:name="_Toc218147613"/>
      <w:bookmarkStart w:id="1619" w:name="_Toc218143463"/>
      <w:bookmarkStart w:id="1620" w:name="_Toc218141233"/>
      <w:bookmarkStart w:id="1621" w:name="_Toc234326830"/>
      <w:bookmarkStart w:id="1622" w:name="_Toc231185192"/>
      <w:bookmarkStart w:id="1623" w:name="_Toc128141506"/>
      <w:bookmarkStart w:id="1624" w:name="_Toc128141029"/>
      <w:bookmarkStart w:id="1625" w:name="_Toc218144686"/>
      <w:bookmarkStart w:id="1626" w:name="_Toc290373450"/>
      <w:bookmarkStart w:id="1627" w:name="_Toc234326026"/>
      <w:bookmarkStart w:id="1628" w:name="_Toc128140037"/>
      <w:bookmarkStart w:id="1629" w:name="_Toc25937"/>
      <w:bookmarkStart w:id="1630" w:name="_Toc128139629"/>
      <w:bookmarkStart w:id="1631" w:name="_Toc217105788"/>
      <w:bookmarkStart w:id="1632" w:name="_Toc214704224"/>
      <w:bookmarkStart w:id="1633" w:name="_Toc234326562"/>
      <w:bookmarkStart w:id="1634" w:name="_Toc218142203"/>
      <w:bookmarkStart w:id="1635" w:name="_Toc234326294"/>
      <w:bookmarkStart w:id="1636" w:name="_Toc128139348"/>
      <w:bookmarkStart w:id="1637" w:name="_Toc218145237"/>
      <w:bookmarkStart w:id="1638" w:name="_Toc218145819"/>
      <w:bookmarkStart w:id="1639" w:name="_Toc218147362"/>
      <w:bookmarkStart w:id="1640" w:name="_Toc213477522"/>
      <w:bookmarkStart w:id="1641" w:name="_Toc128139643"/>
      <w:bookmarkStart w:id="1642" w:name="_Toc213477536"/>
      <w:bookmarkStart w:id="1643" w:name="_Toc212873950"/>
      <w:bookmarkStart w:id="1644" w:name="_Toc128122964"/>
      <w:bookmarkStart w:id="1645" w:name="_Toc128140051"/>
      <w:bookmarkStart w:id="1646" w:name="_Toc130291599"/>
      <w:bookmarkStart w:id="1647" w:name="_Toc128137453"/>
      <w:bookmarkStart w:id="1648" w:name="_Toc212869988"/>
      <w:bookmarkStart w:id="1649" w:name="_Toc128138377"/>
      <w:bookmarkStart w:id="1650" w:name="_Toc128139149"/>
      <w:bookmarkStart w:id="1651" w:name="_Toc128137869"/>
      <w:bookmarkStart w:id="1652" w:name="_Toc128138131"/>
      <w:bookmarkStart w:id="1653" w:name="_Toc213477290"/>
      <w:bookmarkStart w:id="1654" w:name="_Toc128120994"/>
      <w:bookmarkStart w:id="1655" w:name="_Toc128139362"/>
      <w:bookmarkStart w:id="1656" w:name="_Toc128138747"/>
      <w:bookmarkStart w:id="1657" w:name="_Toc213406572"/>
      <w:bookmarkStart w:id="1658" w:name="_Toc128141520"/>
      <w:bookmarkStart w:id="1659" w:name="_Toc128140618"/>
      <w:bookmarkStart w:id="1660" w:name="_Toc213407885"/>
      <w:bookmarkStart w:id="1661" w:name="_Toc128223324"/>
      <w:bookmarkStart w:id="1662" w:name="_Toc131867928"/>
      <w:bookmarkStart w:id="1663" w:name="_Toc128141221"/>
      <w:bookmarkStart w:id="1664" w:name="_Toc128141043"/>
      <w:bookmarkStart w:id="1665" w:name="_Toc212875142"/>
      <w:bookmarkStart w:id="1666" w:name="_Toc212872630"/>
      <w:r>
        <w:rPr>
          <w:sz w:val="21"/>
          <w:szCs w:val="21"/>
        </w:rPr>
        <w:t>一般要求</w:t>
      </w:r>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p>
    <w:p w14:paraId="35A1D88C">
      <w:pPr>
        <w:pStyle w:val="5"/>
        <w:rPr>
          <w:color w:val="auto"/>
          <w:szCs w:val="21"/>
        </w:rPr>
      </w:pPr>
      <w:r>
        <w:rPr>
          <w:color w:val="auto"/>
          <w:szCs w:val="21"/>
        </w:rPr>
        <w:t>投标人按照合同进度要求负责系统每个阶段的试验、测试和验收，使</w:t>
      </w:r>
      <w:r>
        <w:rPr>
          <w:rFonts w:hint="eastAsia"/>
          <w:color w:val="auto"/>
          <w:szCs w:val="21"/>
        </w:rPr>
        <w:t>本项目</w:t>
      </w:r>
      <w:r>
        <w:rPr>
          <w:rFonts w:hint="eastAsia"/>
          <w:color w:val="auto"/>
          <w:szCs w:val="21"/>
          <w:lang w:val="en-US" w:eastAsia="zh-CN"/>
        </w:rPr>
        <w:t>管理云平台</w:t>
      </w:r>
      <w:r>
        <w:rPr>
          <w:rFonts w:hint="eastAsia"/>
          <w:color w:val="auto"/>
          <w:szCs w:val="21"/>
          <w:lang w:val="en-US"/>
        </w:rPr>
        <w:t>各</w:t>
      </w:r>
      <w:r>
        <w:rPr>
          <w:rFonts w:hint="eastAsia"/>
          <w:color w:val="auto"/>
          <w:szCs w:val="21"/>
        </w:rPr>
        <w:t>系统</w:t>
      </w:r>
      <w:r>
        <w:rPr>
          <w:rFonts w:hint="eastAsia"/>
          <w:color w:val="auto"/>
          <w:szCs w:val="21"/>
          <w:lang w:val="en-US"/>
        </w:rPr>
        <w:t>设备</w:t>
      </w:r>
      <w:r>
        <w:rPr>
          <w:color w:val="auto"/>
          <w:szCs w:val="21"/>
        </w:rPr>
        <w:t>满足合同的各项要求。</w:t>
      </w:r>
    </w:p>
    <w:p w14:paraId="6971A8A4">
      <w:pPr>
        <w:pStyle w:val="5"/>
        <w:rPr>
          <w:color w:val="auto"/>
          <w:szCs w:val="21"/>
        </w:rPr>
      </w:pPr>
      <w:r>
        <w:rPr>
          <w:color w:val="auto"/>
          <w:szCs w:val="21"/>
        </w:rPr>
        <w:t>招标人将参加系统设备各阶段的测试和出厂检验，要求投标人应作出计划安排，包括内容、时间、地点，并尽可能把有关测试安排在一起。同时协助招标人办理有关赴厂验收手续，确保试验、测试和验收能按计划执行。</w:t>
      </w:r>
    </w:p>
    <w:p w14:paraId="10BD3BA4">
      <w:pPr>
        <w:pStyle w:val="5"/>
        <w:rPr>
          <w:color w:val="auto"/>
          <w:szCs w:val="21"/>
        </w:rPr>
      </w:pPr>
      <w:r>
        <w:rPr>
          <w:color w:val="auto"/>
          <w:szCs w:val="21"/>
        </w:rPr>
        <w:t>招标人在试验、测试、检验中的任何行为并不减轻投标人对产品质量的责任。</w:t>
      </w:r>
    </w:p>
    <w:p w14:paraId="7ACF1AAF">
      <w:pPr>
        <w:pStyle w:val="5"/>
        <w:rPr>
          <w:color w:val="auto"/>
          <w:szCs w:val="21"/>
        </w:rPr>
      </w:pPr>
      <w:r>
        <w:rPr>
          <w:color w:val="auto"/>
          <w:szCs w:val="21"/>
        </w:rPr>
        <w:t>未经招标人审查，投标人不能改变最初确定的设备制造、测试和检验地点。</w:t>
      </w:r>
    </w:p>
    <w:p w14:paraId="6B495349">
      <w:pPr>
        <w:pStyle w:val="5"/>
        <w:rPr>
          <w:color w:val="auto"/>
          <w:szCs w:val="21"/>
        </w:rPr>
      </w:pPr>
      <w:r>
        <w:rPr>
          <w:color w:val="auto"/>
          <w:szCs w:val="21"/>
        </w:rPr>
        <w:t>对在系统各阶段测试、试验、验收中发现的问题，投标人必须在</w:t>
      </w:r>
      <w:r>
        <w:rPr>
          <w:rFonts w:hint="eastAsia"/>
          <w:color w:val="auto"/>
          <w:szCs w:val="21"/>
        </w:rPr>
        <w:t>1</w:t>
      </w:r>
      <w:r>
        <w:rPr>
          <w:color w:val="auto"/>
          <w:szCs w:val="21"/>
        </w:rPr>
        <w:t>周内</w:t>
      </w:r>
      <w:r>
        <w:rPr>
          <w:rFonts w:hint="eastAsia"/>
          <w:color w:val="auto"/>
          <w:szCs w:val="21"/>
        </w:rPr>
        <w:t>（或按照招标人的具体要求）</w:t>
      </w:r>
      <w:r>
        <w:rPr>
          <w:color w:val="auto"/>
          <w:szCs w:val="21"/>
        </w:rPr>
        <w:t>以书面形式给招标人以答复，所发生的费用由投标人负责。</w:t>
      </w:r>
    </w:p>
    <w:p w14:paraId="6C456F96">
      <w:pPr>
        <w:pStyle w:val="5"/>
        <w:rPr>
          <w:color w:val="auto"/>
          <w:szCs w:val="21"/>
        </w:rPr>
      </w:pPr>
      <w:r>
        <w:rPr>
          <w:color w:val="auto"/>
          <w:szCs w:val="21"/>
        </w:rPr>
        <w:t>如果招标人认为某测试的条件、内容、程序、测量、记录和报告格式等任意一项不符合合同或测试程序的要求，招标人有权拒绝接受测试报告并要求重做该项测试</w:t>
      </w:r>
      <w:r>
        <w:rPr>
          <w:rFonts w:hint="eastAsia"/>
          <w:color w:val="auto"/>
          <w:szCs w:val="21"/>
        </w:rPr>
        <w:t>，投标人不得以任何理由拒绝</w:t>
      </w:r>
      <w:r>
        <w:rPr>
          <w:color w:val="auto"/>
          <w:szCs w:val="21"/>
        </w:rPr>
        <w:t>。</w:t>
      </w:r>
    </w:p>
    <w:p w14:paraId="0399A6D2">
      <w:pPr>
        <w:pStyle w:val="5"/>
        <w:rPr>
          <w:color w:val="auto"/>
          <w:szCs w:val="21"/>
        </w:rPr>
      </w:pPr>
      <w:r>
        <w:rPr>
          <w:color w:val="auto"/>
          <w:szCs w:val="21"/>
        </w:rPr>
        <w:t>在系统各阶段测试、检验</w:t>
      </w:r>
      <w:r>
        <w:rPr>
          <w:rFonts w:hint="eastAsia"/>
          <w:color w:val="auto"/>
          <w:szCs w:val="21"/>
        </w:rPr>
        <w:t>、验收</w:t>
      </w:r>
      <w:r>
        <w:rPr>
          <w:color w:val="auto"/>
          <w:szCs w:val="21"/>
        </w:rPr>
        <w:t>中由投标人负责</w:t>
      </w:r>
      <w:r>
        <w:rPr>
          <w:rFonts w:hint="eastAsia"/>
          <w:color w:val="auto"/>
          <w:szCs w:val="21"/>
        </w:rPr>
        <w:t>免费提供所有必要的设备、设施和仪表及特殊</w:t>
      </w:r>
      <w:r>
        <w:rPr>
          <w:color w:val="auto"/>
          <w:szCs w:val="21"/>
        </w:rPr>
        <w:t>工</w:t>
      </w:r>
      <w:r>
        <w:rPr>
          <w:rFonts w:hint="eastAsia"/>
          <w:color w:val="auto"/>
          <w:szCs w:val="21"/>
        </w:rPr>
        <w:t>器</w:t>
      </w:r>
      <w:r>
        <w:rPr>
          <w:color w:val="auto"/>
          <w:szCs w:val="21"/>
        </w:rPr>
        <w:t>具</w:t>
      </w:r>
      <w:r>
        <w:rPr>
          <w:rFonts w:hint="eastAsia"/>
          <w:color w:val="auto"/>
          <w:szCs w:val="21"/>
        </w:rPr>
        <w:t>，以使本招标文件中规定的规范/标准中的测试能顺利进行而不增加额外的费用</w:t>
      </w:r>
      <w:r>
        <w:rPr>
          <w:color w:val="auto"/>
          <w:szCs w:val="21"/>
        </w:rPr>
        <w:t>。</w:t>
      </w:r>
    </w:p>
    <w:p w14:paraId="604D80DE">
      <w:pPr>
        <w:pStyle w:val="5"/>
        <w:rPr>
          <w:color w:val="auto"/>
          <w:szCs w:val="21"/>
        </w:rPr>
      </w:pPr>
      <w:r>
        <w:rPr>
          <w:color w:val="auto"/>
          <w:szCs w:val="21"/>
        </w:rPr>
        <w:t>投标人应在投标文件中给出测试、检验和验收的建议书，内容包括各阶段测试、检验的内容、方法和标准。测试、检验和验收建议书在</w:t>
      </w:r>
      <w:r>
        <w:rPr>
          <w:rFonts w:hint="eastAsia"/>
          <w:color w:val="auto"/>
          <w:szCs w:val="21"/>
          <w:lang w:eastAsia="zh-CN"/>
        </w:rPr>
        <w:t>技术联络</w:t>
      </w:r>
      <w:r>
        <w:rPr>
          <w:color w:val="auto"/>
          <w:szCs w:val="21"/>
        </w:rPr>
        <w:t>中将进一步确认落实。</w:t>
      </w:r>
    </w:p>
    <w:p w14:paraId="7CB053BB">
      <w:pPr>
        <w:pStyle w:val="5"/>
        <w:rPr>
          <w:color w:val="auto"/>
          <w:szCs w:val="21"/>
        </w:rPr>
      </w:pPr>
      <w:r>
        <w:rPr>
          <w:color w:val="auto"/>
          <w:szCs w:val="21"/>
        </w:rPr>
        <w:t>投标人应保证通过各阶段的各项测试，以确保系统能按工期完成。</w:t>
      </w:r>
    </w:p>
    <w:p w14:paraId="660D1251">
      <w:pPr>
        <w:pStyle w:val="4"/>
        <w:rPr>
          <w:sz w:val="21"/>
          <w:szCs w:val="21"/>
        </w:rPr>
      </w:pPr>
      <w:bookmarkStart w:id="1667" w:name="_Toc218147367"/>
      <w:bookmarkStart w:id="1668" w:name="_Toc212869979"/>
      <w:bookmarkStart w:id="1669" w:name="_Toc218142208"/>
      <w:bookmarkStart w:id="1670" w:name="_Toc128141212"/>
      <w:bookmarkStart w:id="1671" w:name="_Toc218143468"/>
      <w:bookmarkStart w:id="1672" w:name="_Toc215885576"/>
      <w:bookmarkStart w:id="1673" w:name="_Toc234326031"/>
      <w:bookmarkStart w:id="1674" w:name="_Toc128120985"/>
      <w:bookmarkStart w:id="1675" w:name="_Toc131867919"/>
      <w:bookmarkStart w:id="1676" w:name="_Toc234326835"/>
      <w:bookmarkStart w:id="1677" w:name="_Toc128139140"/>
      <w:bookmarkStart w:id="1678" w:name="_Toc218141706"/>
      <w:bookmarkStart w:id="1679" w:name="_Toc128140042"/>
      <w:bookmarkStart w:id="1680" w:name="_Toc128139353"/>
      <w:bookmarkStart w:id="1681" w:name="_Toc212873941"/>
      <w:bookmarkStart w:id="1682" w:name="_Toc218144189"/>
      <w:bookmarkStart w:id="1683" w:name="_Toc217105793"/>
      <w:bookmarkStart w:id="1684" w:name="_Toc128139634"/>
      <w:bookmarkStart w:id="1685" w:name="_Toc218141238"/>
      <w:bookmarkStart w:id="1686" w:name="_Toc128137444"/>
      <w:bookmarkStart w:id="1687" w:name="_Toc290373455"/>
      <w:bookmarkStart w:id="1688" w:name="_Toc6070"/>
      <w:bookmarkStart w:id="1689" w:name="_Toc214704229"/>
      <w:bookmarkStart w:id="1690" w:name="_Toc234326567"/>
      <w:bookmarkStart w:id="1691" w:name="_Toc214703980"/>
      <w:bookmarkStart w:id="1692" w:name="_Toc128122955"/>
      <w:bookmarkStart w:id="1693" w:name="_Toc237702937"/>
      <w:bookmarkStart w:id="1694" w:name="_Toc212872621"/>
      <w:bookmarkStart w:id="1695" w:name="_Toc231185197"/>
      <w:bookmarkStart w:id="1696" w:name="_Toc214704478"/>
      <w:bookmarkStart w:id="1697" w:name="_Toc215889489"/>
      <w:bookmarkStart w:id="1698" w:name="_Toc213407876"/>
      <w:bookmarkStart w:id="1699" w:name="_Toc218145242"/>
      <w:bookmarkStart w:id="1700" w:name="_Toc212875133"/>
      <w:bookmarkStart w:id="1701" w:name="_Toc128138122"/>
      <w:bookmarkStart w:id="1702" w:name="_Toc218145824"/>
      <w:bookmarkStart w:id="1703" w:name="_Toc218147618"/>
      <w:bookmarkStart w:id="1704" w:name="_Toc234326299"/>
      <w:bookmarkStart w:id="1705" w:name="_Toc218143899"/>
      <w:bookmarkStart w:id="1706" w:name="_Toc128137860"/>
      <w:bookmarkStart w:id="1707" w:name="_Toc213477281"/>
      <w:bookmarkStart w:id="1708" w:name="_Toc128141511"/>
      <w:bookmarkStart w:id="1709" w:name="_Toc128223315"/>
      <w:bookmarkStart w:id="1710" w:name="_Toc130291590"/>
      <w:bookmarkStart w:id="1711" w:name="_Toc218144440"/>
      <w:bookmarkStart w:id="1712" w:name="_Toc213477527"/>
      <w:bookmarkStart w:id="1713" w:name="_Toc128138738"/>
      <w:bookmarkStart w:id="1714" w:name="_Toc128140609"/>
      <w:bookmarkStart w:id="1715" w:name="_Toc128141034"/>
      <w:bookmarkStart w:id="1716" w:name="_Toc7204"/>
      <w:bookmarkStart w:id="1717" w:name="_Toc218141957"/>
      <w:bookmarkStart w:id="1718" w:name="_Toc218144942"/>
      <w:bookmarkStart w:id="1719" w:name="_Toc259981564"/>
      <w:bookmarkStart w:id="1720" w:name="_Toc218144691"/>
      <w:r>
        <w:rPr>
          <w:sz w:val="21"/>
          <w:szCs w:val="21"/>
        </w:rPr>
        <w:t>到货检查</w:t>
      </w:r>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p>
    <w:p w14:paraId="08F73BD4">
      <w:pPr>
        <w:pStyle w:val="5"/>
        <w:rPr>
          <w:color w:val="auto"/>
          <w:szCs w:val="21"/>
        </w:rPr>
      </w:pPr>
      <w:r>
        <w:rPr>
          <w:rFonts w:hint="eastAsia"/>
          <w:color w:val="auto"/>
          <w:szCs w:val="21"/>
        </w:rPr>
        <w:t>投标人的交货地点为招标人指定的仓库。</w:t>
      </w:r>
    </w:p>
    <w:p w14:paraId="0524BF51">
      <w:pPr>
        <w:pStyle w:val="5"/>
        <w:rPr>
          <w:color w:val="auto"/>
          <w:szCs w:val="21"/>
        </w:rPr>
      </w:pPr>
      <w:r>
        <w:rPr>
          <w:rFonts w:hint="eastAsia"/>
          <w:color w:val="auto"/>
          <w:szCs w:val="21"/>
        </w:rPr>
        <w:t>系统设备及货物</w:t>
      </w:r>
      <w:r>
        <w:rPr>
          <w:color w:val="auto"/>
          <w:szCs w:val="21"/>
        </w:rPr>
        <w:t>到货检查由投标人组织，招标人</w:t>
      </w:r>
      <w:r>
        <w:rPr>
          <w:rFonts w:hint="eastAsia"/>
          <w:color w:val="auto"/>
          <w:szCs w:val="21"/>
        </w:rPr>
        <w:t>、供货商</w:t>
      </w:r>
      <w:r>
        <w:rPr>
          <w:color w:val="auto"/>
          <w:szCs w:val="21"/>
        </w:rPr>
        <w:t>参加。</w:t>
      </w:r>
    </w:p>
    <w:p w14:paraId="045E20D9">
      <w:pPr>
        <w:pStyle w:val="5"/>
        <w:rPr>
          <w:color w:val="auto"/>
          <w:szCs w:val="21"/>
        </w:rPr>
      </w:pPr>
      <w:r>
        <w:rPr>
          <w:color w:val="auto"/>
          <w:szCs w:val="21"/>
        </w:rPr>
        <w:t>检查的内容主要包括</w:t>
      </w:r>
      <w:r>
        <w:rPr>
          <w:rFonts w:hint="eastAsia"/>
          <w:color w:val="auto"/>
          <w:szCs w:val="21"/>
        </w:rPr>
        <w:t>但不限于</w:t>
      </w:r>
      <w:r>
        <w:rPr>
          <w:color w:val="auto"/>
          <w:szCs w:val="21"/>
        </w:rPr>
        <w:t>：</w:t>
      </w:r>
    </w:p>
    <w:p w14:paraId="65552376">
      <w:pPr>
        <w:numPr>
          <w:ilvl w:val="0"/>
          <w:numId w:val="35"/>
        </w:numPr>
        <w:adjustRightInd w:val="0"/>
        <w:snapToGrid w:val="0"/>
        <w:rPr>
          <w:sz w:val="21"/>
          <w:szCs w:val="21"/>
        </w:rPr>
      </w:pPr>
      <w:r>
        <w:rPr>
          <w:sz w:val="21"/>
          <w:szCs w:val="21"/>
        </w:rPr>
        <w:t>满足合同对包装的要求；</w:t>
      </w:r>
    </w:p>
    <w:p w14:paraId="34AAAB90">
      <w:pPr>
        <w:numPr>
          <w:ilvl w:val="0"/>
          <w:numId w:val="35"/>
        </w:numPr>
        <w:adjustRightInd w:val="0"/>
        <w:snapToGrid w:val="0"/>
        <w:rPr>
          <w:sz w:val="21"/>
          <w:szCs w:val="21"/>
        </w:rPr>
      </w:pPr>
      <w:r>
        <w:rPr>
          <w:sz w:val="21"/>
          <w:szCs w:val="21"/>
        </w:rPr>
        <w:t>外观良好，运输途中未受损；</w:t>
      </w:r>
    </w:p>
    <w:p w14:paraId="66B3DC08">
      <w:pPr>
        <w:numPr>
          <w:ilvl w:val="0"/>
          <w:numId w:val="35"/>
        </w:numPr>
        <w:adjustRightInd w:val="0"/>
        <w:snapToGrid w:val="0"/>
        <w:rPr>
          <w:sz w:val="21"/>
          <w:szCs w:val="21"/>
        </w:rPr>
      </w:pPr>
      <w:r>
        <w:rPr>
          <w:sz w:val="21"/>
          <w:szCs w:val="21"/>
        </w:rPr>
        <w:t>编号、数量和名称与</w:t>
      </w:r>
      <w:r>
        <w:rPr>
          <w:rFonts w:hint="eastAsia"/>
          <w:sz w:val="21"/>
          <w:szCs w:val="21"/>
        </w:rPr>
        <w:t>合同要求的</w:t>
      </w:r>
      <w:r>
        <w:rPr>
          <w:sz w:val="21"/>
          <w:szCs w:val="21"/>
        </w:rPr>
        <w:t>到货清单吻合；</w:t>
      </w:r>
    </w:p>
    <w:p w14:paraId="41324914">
      <w:pPr>
        <w:numPr>
          <w:ilvl w:val="0"/>
          <w:numId w:val="35"/>
        </w:numPr>
        <w:adjustRightInd w:val="0"/>
        <w:snapToGrid w:val="0"/>
        <w:rPr>
          <w:sz w:val="21"/>
          <w:szCs w:val="21"/>
        </w:rPr>
      </w:pPr>
      <w:r>
        <w:rPr>
          <w:rFonts w:hint="eastAsia"/>
          <w:sz w:val="21"/>
          <w:szCs w:val="21"/>
        </w:rPr>
        <w:t>相应的附件、合格证明、测试证明等须齐全。</w:t>
      </w:r>
    </w:p>
    <w:p w14:paraId="1F7669FF">
      <w:pPr>
        <w:pStyle w:val="4"/>
        <w:rPr>
          <w:sz w:val="21"/>
          <w:szCs w:val="21"/>
        </w:rPr>
      </w:pPr>
      <w:bookmarkStart w:id="1721" w:name="_Toc10371"/>
      <w:bookmarkStart w:id="1722" w:name="_Toc15866"/>
      <w:r>
        <w:rPr>
          <w:rFonts w:hint="eastAsia"/>
          <w:sz w:val="21"/>
          <w:szCs w:val="21"/>
        </w:rPr>
        <w:t>开箱检验</w:t>
      </w:r>
      <w:bookmarkEnd w:id="1721"/>
      <w:bookmarkEnd w:id="1722"/>
    </w:p>
    <w:p w14:paraId="6FC4A3C9">
      <w:pPr>
        <w:pStyle w:val="5"/>
        <w:rPr>
          <w:color w:val="auto"/>
          <w:szCs w:val="21"/>
        </w:rPr>
      </w:pPr>
      <w:r>
        <w:rPr>
          <w:rFonts w:hint="eastAsia"/>
          <w:color w:val="auto"/>
          <w:szCs w:val="21"/>
        </w:rPr>
        <w:t>系统设备及货物</w:t>
      </w:r>
      <w:r>
        <w:rPr>
          <w:color w:val="auto"/>
          <w:szCs w:val="21"/>
        </w:rPr>
        <w:t>开箱检验由</w:t>
      </w:r>
      <w:r>
        <w:rPr>
          <w:rFonts w:hint="eastAsia"/>
          <w:color w:val="auto"/>
          <w:szCs w:val="21"/>
        </w:rPr>
        <w:t>投标人</w:t>
      </w:r>
      <w:r>
        <w:rPr>
          <w:color w:val="auto"/>
          <w:szCs w:val="21"/>
        </w:rPr>
        <w:t>组织，在招标人的指定地点进行，由招标人</w:t>
      </w:r>
      <w:r>
        <w:rPr>
          <w:rFonts w:hint="eastAsia"/>
          <w:color w:val="auto"/>
          <w:szCs w:val="21"/>
        </w:rPr>
        <w:t>、投标人、供货商</w:t>
      </w:r>
      <w:r>
        <w:rPr>
          <w:color w:val="auto"/>
          <w:szCs w:val="21"/>
        </w:rPr>
        <w:t>等有关人员参加。投标人参加开箱检验的费用自理。</w:t>
      </w:r>
    </w:p>
    <w:p w14:paraId="7EECB75F">
      <w:pPr>
        <w:pStyle w:val="5"/>
        <w:rPr>
          <w:color w:val="auto"/>
          <w:szCs w:val="21"/>
        </w:rPr>
      </w:pPr>
      <w:r>
        <w:rPr>
          <w:color w:val="auto"/>
          <w:szCs w:val="21"/>
        </w:rPr>
        <w:t>开箱检验主要是对设备的内外包装、设备外观和种类、数量进行检查。如发现设备</w:t>
      </w:r>
      <w:r>
        <w:rPr>
          <w:rFonts w:hint="eastAsia"/>
          <w:color w:val="auto"/>
          <w:szCs w:val="21"/>
        </w:rPr>
        <w:t>数量</w:t>
      </w:r>
      <w:r>
        <w:rPr>
          <w:color w:val="auto"/>
          <w:szCs w:val="21"/>
        </w:rPr>
        <w:t>短缺</w:t>
      </w:r>
      <w:r>
        <w:rPr>
          <w:rFonts w:hint="eastAsia"/>
          <w:color w:val="auto"/>
          <w:szCs w:val="21"/>
        </w:rPr>
        <w:t>、类型不符或</w:t>
      </w:r>
      <w:r>
        <w:rPr>
          <w:color w:val="auto"/>
          <w:szCs w:val="21"/>
        </w:rPr>
        <w:t>外观破损，投标人提出解决方法，交招标人确认后，及时处理，以保证工程进度不被拖延。</w:t>
      </w:r>
    </w:p>
    <w:p w14:paraId="09FBF14C">
      <w:pPr>
        <w:pStyle w:val="5"/>
        <w:rPr>
          <w:color w:val="auto"/>
          <w:szCs w:val="21"/>
        </w:rPr>
      </w:pPr>
      <w:r>
        <w:rPr>
          <w:color w:val="auto"/>
          <w:szCs w:val="21"/>
        </w:rPr>
        <w:t>开箱检验无问题后，由招标人</w:t>
      </w:r>
      <w:r>
        <w:rPr>
          <w:rFonts w:hint="eastAsia"/>
          <w:color w:val="auto"/>
          <w:szCs w:val="21"/>
        </w:rPr>
        <w:t>、投标人、供货商</w:t>
      </w:r>
      <w:r>
        <w:rPr>
          <w:color w:val="auto"/>
          <w:szCs w:val="21"/>
        </w:rPr>
        <w:t>等有关人员共同签署开箱检验报告。</w:t>
      </w:r>
    </w:p>
    <w:p w14:paraId="11D6BD3B">
      <w:pPr>
        <w:pStyle w:val="4"/>
        <w:rPr>
          <w:sz w:val="21"/>
          <w:szCs w:val="21"/>
        </w:rPr>
      </w:pPr>
      <w:bookmarkStart w:id="1723" w:name="_Toc4410"/>
      <w:r>
        <w:rPr>
          <w:sz w:val="21"/>
          <w:szCs w:val="21"/>
        </w:rPr>
        <w:t>验收</w:t>
      </w:r>
      <w:bookmarkEnd w:id="1723"/>
    </w:p>
    <w:p w14:paraId="4284B342">
      <w:pPr>
        <w:pStyle w:val="5"/>
        <w:rPr>
          <w:color w:val="auto"/>
          <w:szCs w:val="21"/>
        </w:rPr>
      </w:pPr>
      <w:r>
        <w:rPr>
          <w:rFonts w:hint="eastAsia"/>
          <w:color w:val="auto"/>
          <w:szCs w:val="21"/>
          <w:lang w:eastAsia="zh-CN"/>
        </w:rPr>
        <w:t>部署</w:t>
      </w:r>
      <w:r>
        <w:rPr>
          <w:rFonts w:hint="eastAsia"/>
          <w:color w:val="auto"/>
          <w:szCs w:val="21"/>
        </w:rPr>
        <w:t>验收由</w:t>
      </w:r>
      <w:r>
        <w:rPr>
          <w:rFonts w:hint="eastAsia"/>
          <w:color w:val="auto"/>
          <w:szCs w:val="21"/>
          <w:lang w:val="en-US"/>
        </w:rPr>
        <w:t>招</w:t>
      </w:r>
      <w:r>
        <w:rPr>
          <w:rFonts w:hint="eastAsia"/>
          <w:color w:val="auto"/>
          <w:szCs w:val="21"/>
        </w:rPr>
        <w:t>标人组织。</w:t>
      </w:r>
    </w:p>
    <w:p w14:paraId="78B51748">
      <w:pPr>
        <w:pStyle w:val="5"/>
        <w:rPr>
          <w:color w:val="auto"/>
          <w:szCs w:val="21"/>
        </w:rPr>
      </w:pPr>
      <w:r>
        <w:rPr>
          <w:color w:val="auto"/>
          <w:szCs w:val="21"/>
        </w:rPr>
        <w:t>投标人应在</w:t>
      </w:r>
      <w:r>
        <w:rPr>
          <w:rFonts w:hint="eastAsia"/>
          <w:color w:val="auto"/>
          <w:szCs w:val="21"/>
          <w:lang w:eastAsia="zh-CN"/>
        </w:rPr>
        <w:t>部署</w:t>
      </w:r>
      <w:r>
        <w:rPr>
          <w:rFonts w:hint="eastAsia"/>
          <w:color w:val="auto"/>
          <w:szCs w:val="21"/>
        </w:rPr>
        <w:t>时</w:t>
      </w:r>
      <w:r>
        <w:rPr>
          <w:color w:val="auto"/>
          <w:szCs w:val="21"/>
        </w:rPr>
        <w:t>指定专人到现场，确保设备</w:t>
      </w:r>
      <w:r>
        <w:rPr>
          <w:rFonts w:hint="eastAsia"/>
          <w:color w:val="auto"/>
          <w:szCs w:val="21"/>
          <w:lang w:eastAsia="zh-CN"/>
        </w:rPr>
        <w:t>部署</w:t>
      </w:r>
      <w:r>
        <w:rPr>
          <w:color w:val="auto"/>
          <w:szCs w:val="21"/>
        </w:rPr>
        <w:t>能顺利完成。</w:t>
      </w:r>
    </w:p>
    <w:p w14:paraId="49909584">
      <w:pPr>
        <w:pStyle w:val="5"/>
        <w:rPr>
          <w:color w:val="auto"/>
          <w:szCs w:val="21"/>
        </w:rPr>
      </w:pPr>
      <w:r>
        <w:rPr>
          <w:rFonts w:hint="eastAsia"/>
          <w:color w:val="auto"/>
          <w:szCs w:val="21"/>
          <w:lang w:eastAsia="zh-CN"/>
        </w:rPr>
        <w:t>部署</w:t>
      </w:r>
      <w:r>
        <w:rPr>
          <w:color w:val="auto"/>
          <w:szCs w:val="21"/>
        </w:rPr>
        <w:t>完成后</w:t>
      </w:r>
      <w:r>
        <w:rPr>
          <w:rFonts w:hint="eastAsia"/>
          <w:color w:val="auto"/>
          <w:szCs w:val="21"/>
        </w:rPr>
        <w:t>，招标人、</w:t>
      </w:r>
      <w:r>
        <w:rPr>
          <w:color w:val="auto"/>
          <w:szCs w:val="21"/>
        </w:rPr>
        <w:t>投标人</w:t>
      </w:r>
      <w:r>
        <w:rPr>
          <w:rFonts w:hint="eastAsia"/>
          <w:color w:val="auto"/>
          <w:szCs w:val="21"/>
        </w:rPr>
        <w:t>、供货商</w:t>
      </w:r>
      <w:r>
        <w:rPr>
          <w:color w:val="auto"/>
          <w:szCs w:val="21"/>
        </w:rPr>
        <w:t>按</w:t>
      </w:r>
      <w:r>
        <w:rPr>
          <w:rFonts w:hint="eastAsia"/>
          <w:color w:val="auto"/>
          <w:szCs w:val="21"/>
        </w:rPr>
        <w:t>照</w:t>
      </w:r>
      <w:r>
        <w:rPr>
          <w:color w:val="auto"/>
          <w:szCs w:val="21"/>
        </w:rPr>
        <w:t>验收标准进行验收。</w:t>
      </w:r>
    </w:p>
    <w:p w14:paraId="7CEB61FB">
      <w:pPr>
        <w:pStyle w:val="5"/>
        <w:rPr>
          <w:color w:val="auto"/>
          <w:szCs w:val="21"/>
        </w:rPr>
      </w:pPr>
      <w:r>
        <w:rPr>
          <w:color w:val="auto"/>
          <w:szCs w:val="21"/>
        </w:rPr>
        <w:t>验收应包括但不限于以下内容：</w:t>
      </w:r>
    </w:p>
    <w:p w14:paraId="75779D29">
      <w:pPr>
        <w:numPr>
          <w:ilvl w:val="0"/>
          <w:numId w:val="35"/>
        </w:numPr>
        <w:adjustRightInd w:val="0"/>
        <w:snapToGrid w:val="0"/>
        <w:rPr>
          <w:sz w:val="21"/>
          <w:szCs w:val="21"/>
        </w:rPr>
      </w:pPr>
      <w:r>
        <w:rPr>
          <w:sz w:val="21"/>
          <w:szCs w:val="21"/>
        </w:rPr>
        <w:t>所有设备、电缆布线和配电安全、正确</w:t>
      </w:r>
      <w:r>
        <w:rPr>
          <w:rFonts w:hint="eastAsia"/>
          <w:sz w:val="21"/>
          <w:szCs w:val="21"/>
        </w:rPr>
        <w:t>、</w:t>
      </w:r>
      <w:r>
        <w:rPr>
          <w:sz w:val="21"/>
          <w:szCs w:val="21"/>
        </w:rPr>
        <w:t>可靠</w:t>
      </w:r>
      <w:r>
        <w:rPr>
          <w:rFonts w:hint="eastAsia"/>
          <w:sz w:val="21"/>
          <w:szCs w:val="21"/>
        </w:rPr>
        <w:t>，且标识标签完整、清晰、准确</w:t>
      </w:r>
      <w:r>
        <w:rPr>
          <w:sz w:val="21"/>
          <w:szCs w:val="21"/>
        </w:rPr>
        <w:t>。</w:t>
      </w:r>
    </w:p>
    <w:p w14:paraId="3662B3A8">
      <w:pPr>
        <w:numPr>
          <w:ilvl w:val="0"/>
          <w:numId w:val="35"/>
        </w:numPr>
        <w:adjustRightInd w:val="0"/>
        <w:snapToGrid w:val="0"/>
        <w:rPr>
          <w:sz w:val="21"/>
          <w:szCs w:val="21"/>
        </w:rPr>
      </w:pPr>
      <w:r>
        <w:rPr>
          <w:sz w:val="21"/>
          <w:szCs w:val="21"/>
        </w:rPr>
        <w:t>所有联接装置、绝缘体、门、盖板安装适当</w:t>
      </w:r>
      <w:r>
        <w:rPr>
          <w:rFonts w:hint="eastAsia"/>
          <w:sz w:val="21"/>
          <w:szCs w:val="21"/>
        </w:rPr>
        <w:t>，并</w:t>
      </w:r>
      <w:r>
        <w:rPr>
          <w:sz w:val="21"/>
          <w:szCs w:val="21"/>
        </w:rPr>
        <w:t>可以调整。</w:t>
      </w:r>
    </w:p>
    <w:p w14:paraId="553B7630">
      <w:pPr>
        <w:numPr>
          <w:ilvl w:val="0"/>
          <w:numId w:val="35"/>
        </w:numPr>
        <w:adjustRightInd w:val="0"/>
        <w:snapToGrid w:val="0"/>
        <w:rPr>
          <w:sz w:val="21"/>
          <w:szCs w:val="21"/>
        </w:rPr>
      </w:pPr>
      <w:r>
        <w:rPr>
          <w:sz w:val="21"/>
          <w:szCs w:val="21"/>
        </w:rPr>
        <w:t>所有外露的金属部分应根据IEC的有关规程和要求进行接地，接地点应符合系统要求。</w:t>
      </w:r>
    </w:p>
    <w:p w14:paraId="6E7E66D0">
      <w:pPr>
        <w:numPr>
          <w:ilvl w:val="0"/>
          <w:numId w:val="35"/>
        </w:numPr>
        <w:adjustRightInd w:val="0"/>
        <w:snapToGrid w:val="0"/>
        <w:rPr>
          <w:sz w:val="21"/>
          <w:szCs w:val="21"/>
        </w:rPr>
      </w:pPr>
      <w:r>
        <w:rPr>
          <w:sz w:val="21"/>
          <w:szCs w:val="21"/>
        </w:rPr>
        <w:t>所有电源要加保险或其它保护，使得在故障情况下能安全自动断开。</w:t>
      </w:r>
    </w:p>
    <w:p w14:paraId="2E63902A">
      <w:pPr>
        <w:numPr>
          <w:ilvl w:val="0"/>
          <w:numId w:val="35"/>
        </w:numPr>
        <w:adjustRightInd w:val="0"/>
        <w:snapToGrid w:val="0"/>
        <w:rPr>
          <w:sz w:val="21"/>
          <w:szCs w:val="21"/>
        </w:rPr>
      </w:pPr>
      <w:r>
        <w:rPr>
          <w:sz w:val="21"/>
          <w:szCs w:val="21"/>
        </w:rPr>
        <w:t>所有保护盖要合适，提示和标签要正确，并安装在适当的位置。</w:t>
      </w:r>
    </w:p>
    <w:p w14:paraId="09D71154">
      <w:pPr>
        <w:numPr>
          <w:ilvl w:val="0"/>
          <w:numId w:val="35"/>
        </w:numPr>
        <w:adjustRightInd w:val="0"/>
        <w:snapToGrid w:val="0"/>
        <w:rPr>
          <w:sz w:val="21"/>
          <w:szCs w:val="21"/>
        </w:rPr>
      </w:pPr>
      <w:r>
        <w:rPr>
          <w:sz w:val="21"/>
          <w:szCs w:val="21"/>
        </w:rPr>
        <w:t>机壳和机箱的内外都要干净无杂物。</w:t>
      </w:r>
    </w:p>
    <w:p w14:paraId="4F7CC5E0">
      <w:pPr>
        <w:numPr>
          <w:ilvl w:val="0"/>
          <w:numId w:val="35"/>
        </w:numPr>
        <w:adjustRightInd w:val="0"/>
        <w:snapToGrid w:val="0"/>
        <w:rPr>
          <w:sz w:val="21"/>
          <w:szCs w:val="21"/>
        </w:rPr>
      </w:pPr>
      <w:r>
        <w:rPr>
          <w:sz w:val="21"/>
          <w:szCs w:val="21"/>
        </w:rPr>
        <w:t>电缆和设备的绝缘电阻要大于IEC规定要求。</w:t>
      </w:r>
    </w:p>
    <w:p w14:paraId="530E64B0">
      <w:pPr>
        <w:numPr>
          <w:ilvl w:val="0"/>
          <w:numId w:val="35"/>
        </w:numPr>
        <w:adjustRightInd w:val="0"/>
        <w:snapToGrid w:val="0"/>
        <w:rPr>
          <w:sz w:val="21"/>
          <w:szCs w:val="21"/>
        </w:rPr>
      </w:pPr>
      <w:r>
        <w:rPr>
          <w:sz w:val="21"/>
          <w:szCs w:val="21"/>
        </w:rPr>
        <w:t>所有用于故障指示和报警的电子回路应工作正常。</w:t>
      </w:r>
    </w:p>
    <w:p w14:paraId="1CF7F7D5">
      <w:pPr>
        <w:pStyle w:val="1221"/>
        <w:jc w:val="both"/>
        <w:rPr>
          <w:szCs w:val="21"/>
        </w:rPr>
      </w:pPr>
      <w:r>
        <w:rPr>
          <w:szCs w:val="21"/>
        </w:rPr>
        <w:t>对未通过验收</w:t>
      </w:r>
      <w:r>
        <w:rPr>
          <w:rFonts w:hint="eastAsia"/>
          <w:szCs w:val="21"/>
        </w:rPr>
        <w:t>且认定为投标人责任</w:t>
      </w:r>
      <w:r>
        <w:rPr>
          <w:szCs w:val="21"/>
        </w:rPr>
        <w:t>的</w:t>
      </w:r>
      <w:r>
        <w:rPr>
          <w:rFonts w:hint="eastAsia"/>
          <w:szCs w:val="21"/>
          <w:lang w:eastAsia="zh-CN"/>
        </w:rPr>
        <w:t>建设内容</w:t>
      </w:r>
      <w:r>
        <w:rPr>
          <w:szCs w:val="21"/>
        </w:rPr>
        <w:t>，招标人向投标人发出</w:t>
      </w:r>
      <w:r>
        <w:rPr>
          <w:rFonts w:hint="eastAsia"/>
          <w:szCs w:val="21"/>
        </w:rPr>
        <w:t>整改</w:t>
      </w:r>
      <w:r>
        <w:rPr>
          <w:szCs w:val="21"/>
        </w:rPr>
        <w:t>、替换通知；投标人</w:t>
      </w:r>
      <w:r>
        <w:rPr>
          <w:rFonts w:hint="eastAsia"/>
          <w:szCs w:val="21"/>
        </w:rPr>
        <w:t>须在规定时限内</w:t>
      </w:r>
      <w:r>
        <w:rPr>
          <w:szCs w:val="21"/>
        </w:rPr>
        <w:t>修改、替换，因此而发生的费用由投标人负责。</w:t>
      </w:r>
    </w:p>
    <w:p w14:paraId="412337BC">
      <w:pPr>
        <w:pStyle w:val="4"/>
        <w:rPr>
          <w:sz w:val="21"/>
          <w:szCs w:val="21"/>
        </w:rPr>
      </w:pPr>
      <w:bookmarkStart w:id="1724" w:name="_Toc218147620"/>
      <w:bookmarkStart w:id="1725" w:name="_Toc212869981"/>
      <w:bookmarkStart w:id="1726" w:name="_Toc234326301"/>
      <w:bookmarkStart w:id="1727" w:name="_Toc215885578"/>
      <w:bookmarkStart w:id="1728" w:name="_Toc128138740"/>
      <w:bookmarkStart w:id="1729" w:name="_Toc218143901"/>
      <w:bookmarkStart w:id="1730" w:name="_Toc234326033"/>
      <w:bookmarkStart w:id="1731" w:name="_Toc130291592"/>
      <w:bookmarkStart w:id="1732" w:name="_Toc213477283"/>
      <w:bookmarkStart w:id="1733" w:name="_Toc2593"/>
      <w:bookmarkStart w:id="1734" w:name="_Toc128139142"/>
      <w:bookmarkStart w:id="1735" w:name="_Toc214703982"/>
      <w:bookmarkStart w:id="1736" w:name="_Toc234326569"/>
      <w:bookmarkStart w:id="1737" w:name="_Toc215889491"/>
      <w:bookmarkStart w:id="1738" w:name="_Toc218144442"/>
      <w:bookmarkStart w:id="1739" w:name="_Toc128137862"/>
      <w:bookmarkStart w:id="1740" w:name="_Toc218141708"/>
      <w:bookmarkStart w:id="1741" w:name="_Toc218144191"/>
      <w:bookmarkStart w:id="1742" w:name="_Toc128122957"/>
      <w:bookmarkStart w:id="1743" w:name="_Toc212872623"/>
      <w:bookmarkStart w:id="1744" w:name="_Toc214704480"/>
      <w:bookmarkStart w:id="1745" w:name="_Toc218142210"/>
      <w:bookmarkStart w:id="1746" w:name="_Toc231185199"/>
      <w:bookmarkStart w:id="1747" w:name="_Toc217105795"/>
      <w:bookmarkStart w:id="1748" w:name="_Toc218145826"/>
      <w:bookmarkStart w:id="1749" w:name="_Toc218147369"/>
      <w:bookmarkStart w:id="1750" w:name="_Toc212875135"/>
      <w:bookmarkStart w:id="1751" w:name="_Toc218144693"/>
      <w:bookmarkStart w:id="1752" w:name="_Toc218144944"/>
      <w:bookmarkStart w:id="1753" w:name="_Toc128137446"/>
      <w:bookmarkStart w:id="1754" w:name="_Toc218141959"/>
      <w:bookmarkStart w:id="1755" w:name="_Toc128140611"/>
      <w:bookmarkStart w:id="1756" w:name="_Toc234326837"/>
      <w:bookmarkStart w:id="1757" w:name="_Toc218145244"/>
      <w:bookmarkStart w:id="1758" w:name="_Toc218143470"/>
      <w:bookmarkStart w:id="1759" w:name="_Toc128141214"/>
      <w:bookmarkStart w:id="1760" w:name="_Toc128223317"/>
      <w:bookmarkStart w:id="1761" w:name="_Toc213407878"/>
      <w:bookmarkStart w:id="1762" w:name="_Toc131867921"/>
      <w:bookmarkStart w:id="1763" w:name="_Toc214704231"/>
      <w:bookmarkStart w:id="1764" w:name="_Toc128120987"/>
      <w:bookmarkStart w:id="1765" w:name="_Toc218141240"/>
      <w:bookmarkStart w:id="1766" w:name="_Toc237702939"/>
      <w:bookmarkStart w:id="1767" w:name="_Toc128141513"/>
      <w:bookmarkStart w:id="1768" w:name="_Toc128139636"/>
      <w:bookmarkStart w:id="1769" w:name="_Toc128141036"/>
      <w:bookmarkStart w:id="1770" w:name="_Toc259981566"/>
      <w:bookmarkStart w:id="1771" w:name="_Toc212873943"/>
      <w:bookmarkStart w:id="1772" w:name="_Toc213477529"/>
      <w:bookmarkStart w:id="1773" w:name="_Toc128139355"/>
      <w:bookmarkStart w:id="1774" w:name="_Toc290373457"/>
      <w:bookmarkStart w:id="1775" w:name="_Toc128138124"/>
      <w:bookmarkStart w:id="1776" w:name="_Toc128140044"/>
      <w:r>
        <w:rPr>
          <w:sz w:val="21"/>
          <w:szCs w:val="21"/>
        </w:rPr>
        <w:t>现场调试</w:t>
      </w:r>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p>
    <w:p w14:paraId="66A3E0D8">
      <w:pPr>
        <w:widowControl/>
        <w:tabs>
          <w:tab w:val="left" w:pos="370"/>
        </w:tabs>
        <w:adjustRightInd w:val="0"/>
        <w:snapToGrid w:val="0"/>
        <w:ind w:firstLine="420" w:firstLineChars="200"/>
        <w:rPr>
          <w:sz w:val="21"/>
          <w:szCs w:val="21"/>
        </w:rPr>
      </w:pPr>
      <w:r>
        <w:rPr>
          <w:sz w:val="21"/>
          <w:szCs w:val="21"/>
        </w:rPr>
        <w:t>所有设备和系统的性能指标要选用适当的仪器、方法进行</w:t>
      </w:r>
      <w:r>
        <w:rPr>
          <w:rFonts w:hint="eastAsia"/>
          <w:sz w:val="21"/>
          <w:szCs w:val="21"/>
        </w:rPr>
        <w:t>调试</w:t>
      </w:r>
      <w:r>
        <w:rPr>
          <w:sz w:val="21"/>
          <w:szCs w:val="21"/>
        </w:rPr>
        <w:t>，</w:t>
      </w:r>
      <w:r>
        <w:rPr>
          <w:rFonts w:hint="eastAsia"/>
          <w:sz w:val="21"/>
          <w:szCs w:val="21"/>
        </w:rPr>
        <w:t>调试</w:t>
      </w:r>
      <w:r>
        <w:rPr>
          <w:sz w:val="21"/>
          <w:szCs w:val="21"/>
        </w:rPr>
        <w:t>结果应符合本招标文件</w:t>
      </w:r>
      <w:r>
        <w:rPr>
          <w:rFonts w:hint="eastAsia"/>
          <w:sz w:val="21"/>
          <w:szCs w:val="21"/>
        </w:rPr>
        <w:t>专用</w:t>
      </w:r>
      <w:r>
        <w:rPr>
          <w:sz w:val="21"/>
          <w:szCs w:val="21"/>
        </w:rPr>
        <w:t>技术部分要求。</w:t>
      </w:r>
    </w:p>
    <w:p w14:paraId="74D0D8CD">
      <w:pPr>
        <w:pStyle w:val="5"/>
        <w:rPr>
          <w:color w:val="auto"/>
          <w:szCs w:val="21"/>
        </w:rPr>
      </w:pPr>
      <w:r>
        <w:rPr>
          <w:color w:val="auto"/>
          <w:szCs w:val="21"/>
        </w:rPr>
        <w:t>现场</w:t>
      </w:r>
      <w:r>
        <w:rPr>
          <w:rFonts w:hint="eastAsia"/>
          <w:color w:val="auto"/>
          <w:szCs w:val="21"/>
        </w:rPr>
        <w:t>调试由投标人组织实施</w:t>
      </w:r>
      <w:r>
        <w:rPr>
          <w:color w:val="auto"/>
          <w:szCs w:val="21"/>
        </w:rPr>
        <w:t>。现场测调试包括单机调试和系统调试。</w:t>
      </w:r>
    </w:p>
    <w:p w14:paraId="5BA0C4F3">
      <w:pPr>
        <w:pStyle w:val="5"/>
        <w:rPr>
          <w:color w:val="auto"/>
          <w:szCs w:val="21"/>
        </w:rPr>
      </w:pPr>
      <w:r>
        <w:rPr>
          <w:color w:val="auto"/>
          <w:szCs w:val="21"/>
        </w:rPr>
        <w:t>投标人应提前至少</w:t>
      </w:r>
      <w:r>
        <w:rPr>
          <w:rFonts w:hint="default"/>
          <w:color w:val="auto"/>
          <w:szCs w:val="21"/>
          <w:lang w:val="en-US"/>
        </w:rPr>
        <w:t>一</w:t>
      </w:r>
      <w:r>
        <w:rPr>
          <w:color w:val="auto"/>
          <w:szCs w:val="21"/>
        </w:rPr>
        <w:t>个月</w:t>
      </w:r>
      <w:r>
        <w:rPr>
          <w:rFonts w:hint="eastAsia"/>
          <w:color w:val="auto"/>
          <w:szCs w:val="21"/>
        </w:rPr>
        <w:t>（或</w:t>
      </w:r>
      <w:r>
        <w:rPr>
          <w:rFonts w:hint="eastAsia" w:hAnsi="宋体"/>
          <w:color w:val="auto"/>
          <w:szCs w:val="21"/>
        </w:rPr>
        <w:t>按照招标人的具体规定</w:t>
      </w:r>
      <w:r>
        <w:rPr>
          <w:rFonts w:hint="eastAsia"/>
          <w:color w:val="auto"/>
          <w:szCs w:val="21"/>
        </w:rPr>
        <w:t>）</w:t>
      </w:r>
      <w:r>
        <w:rPr>
          <w:color w:val="auto"/>
          <w:szCs w:val="21"/>
        </w:rPr>
        <w:t>根据工程进度要求制定现场调试计划，提交招标人审批、确认。</w:t>
      </w:r>
    </w:p>
    <w:p w14:paraId="3D7E9938">
      <w:pPr>
        <w:pStyle w:val="5"/>
        <w:rPr>
          <w:color w:val="auto"/>
          <w:szCs w:val="21"/>
        </w:rPr>
      </w:pPr>
      <w:r>
        <w:rPr>
          <w:color w:val="auto"/>
          <w:szCs w:val="21"/>
        </w:rPr>
        <w:t>单机调试</w:t>
      </w:r>
    </w:p>
    <w:p w14:paraId="5F600431">
      <w:pPr>
        <w:pStyle w:val="1221"/>
        <w:jc w:val="both"/>
        <w:rPr>
          <w:szCs w:val="21"/>
        </w:rPr>
      </w:pPr>
      <w:r>
        <w:rPr>
          <w:szCs w:val="21"/>
        </w:rPr>
        <w:t>单机调试在安装后进行。目的是保证设备经远距离运输和安装后不发生损坏。</w:t>
      </w:r>
    </w:p>
    <w:p w14:paraId="37C88F7B">
      <w:pPr>
        <w:pStyle w:val="1221"/>
        <w:jc w:val="both"/>
        <w:rPr>
          <w:szCs w:val="21"/>
        </w:rPr>
      </w:pPr>
      <w:r>
        <w:rPr>
          <w:szCs w:val="21"/>
        </w:rPr>
        <w:t>在单机调试中，对出现相同性故障的单机设备，修复的机会只有两次。达不到测试要求的单机设备，投标人负责修理和更换，并承担所需的全部费用。</w:t>
      </w:r>
    </w:p>
    <w:p w14:paraId="1A3BFA2D">
      <w:pPr>
        <w:pStyle w:val="5"/>
        <w:rPr>
          <w:color w:val="auto"/>
          <w:szCs w:val="21"/>
        </w:rPr>
      </w:pPr>
      <w:r>
        <w:rPr>
          <w:color w:val="auto"/>
          <w:szCs w:val="21"/>
        </w:rPr>
        <w:t>系统</w:t>
      </w:r>
      <w:r>
        <w:rPr>
          <w:rFonts w:hint="eastAsia"/>
          <w:color w:val="auto"/>
          <w:szCs w:val="21"/>
          <w:lang w:eastAsia="zh-CN"/>
        </w:rPr>
        <w:t>适配</w:t>
      </w:r>
      <w:r>
        <w:rPr>
          <w:color w:val="auto"/>
          <w:szCs w:val="21"/>
        </w:rPr>
        <w:t>：系统</w:t>
      </w:r>
      <w:r>
        <w:rPr>
          <w:rFonts w:hint="eastAsia"/>
          <w:color w:val="auto"/>
          <w:szCs w:val="21"/>
          <w:lang w:eastAsia="zh-CN"/>
        </w:rPr>
        <w:t>适配</w:t>
      </w:r>
      <w:r>
        <w:rPr>
          <w:color w:val="auto"/>
          <w:szCs w:val="21"/>
        </w:rPr>
        <w:t>是指对</w:t>
      </w:r>
      <w:r>
        <w:rPr>
          <w:rFonts w:hint="eastAsia"/>
          <w:color w:val="auto"/>
          <w:szCs w:val="21"/>
          <w:lang w:val="en-US" w:eastAsia="zh-CN"/>
        </w:rPr>
        <w:t>管理云平台</w:t>
      </w:r>
      <w:r>
        <w:rPr>
          <w:rFonts w:hint="eastAsia"/>
          <w:color w:val="auto"/>
          <w:szCs w:val="21"/>
          <w:lang w:val="en-US"/>
        </w:rPr>
        <w:t>及其相关</w:t>
      </w:r>
      <w:r>
        <w:rPr>
          <w:color w:val="auto"/>
          <w:szCs w:val="21"/>
        </w:rPr>
        <w:t>系统性能的联合</w:t>
      </w:r>
      <w:r>
        <w:rPr>
          <w:rFonts w:hint="eastAsia"/>
          <w:color w:val="auto"/>
          <w:szCs w:val="21"/>
          <w:lang w:eastAsia="zh-CN"/>
        </w:rPr>
        <w:t>适配</w:t>
      </w:r>
      <w:r>
        <w:rPr>
          <w:color w:val="auto"/>
          <w:szCs w:val="21"/>
        </w:rPr>
        <w:t>，测试和解决各系统间接口和存在问题。确保各系统之间接口正确，性能满足技术建议书要求。系统</w:t>
      </w:r>
      <w:r>
        <w:rPr>
          <w:rFonts w:hint="eastAsia"/>
          <w:color w:val="auto"/>
          <w:szCs w:val="21"/>
          <w:lang w:eastAsia="zh-CN"/>
        </w:rPr>
        <w:t>适配</w:t>
      </w:r>
      <w:r>
        <w:rPr>
          <w:rFonts w:hint="eastAsia"/>
          <w:color w:val="auto"/>
          <w:szCs w:val="21"/>
        </w:rPr>
        <w:t>未通过</w:t>
      </w:r>
      <w:r>
        <w:rPr>
          <w:color w:val="auto"/>
          <w:szCs w:val="21"/>
        </w:rPr>
        <w:t>，投标人</w:t>
      </w:r>
      <w:r>
        <w:rPr>
          <w:rFonts w:hint="eastAsia" w:ascii="仿宋_GB2312"/>
          <w:color w:val="auto"/>
          <w:szCs w:val="21"/>
        </w:rPr>
        <w:t>须按招标人规定时间内整改并继续</w:t>
      </w:r>
      <w:r>
        <w:rPr>
          <w:rFonts w:hint="eastAsia"/>
          <w:color w:val="auto"/>
          <w:szCs w:val="21"/>
          <w:lang w:eastAsia="zh-CN"/>
        </w:rPr>
        <w:t>适配测试</w:t>
      </w:r>
      <w:r>
        <w:rPr>
          <w:color w:val="auto"/>
          <w:szCs w:val="21"/>
        </w:rPr>
        <w:t>，直</w:t>
      </w:r>
      <w:r>
        <w:rPr>
          <w:rFonts w:hint="eastAsia"/>
          <w:color w:val="auto"/>
          <w:szCs w:val="21"/>
        </w:rPr>
        <w:t>到</w:t>
      </w:r>
      <w:r>
        <w:rPr>
          <w:rFonts w:hint="eastAsia"/>
          <w:color w:val="auto"/>
          <w:szCs w:val="21"/>
          <w:lang w:eastAsia="zh-CN"/>
        </w:rPr>
        <w:t>适配测试</w:t>
      </w:r>
      <w:r>
        <w:rPr>
          <w:color w:val="auto"/>
          <w:szCs w:val="21"/>
        </w:rPr>
        <w:t>按要求通过</w:t>
      </w:r>
      <w:r>
        <w:rPr>
          <w:rFonts w:hint="eastAsia"/>
          <w:color w:val="auto"/>
          <w:szCs w:val="21"/>
        </w:rPr>
        <w:t>为止</w:t>
      </w:r>
      <w:r>
        <w:rPr>
          <w:color w:val="auto"/>
          <w:szCs w:val="21"/>
        </w:rPr>
        <w:t>。</w:t>
      </w:r>
      <w:r>
        <w:rPr>
          <w:rFonts w:hint="eastAsia"/>
          <w:color w:val="auto"/>
          <w:szCs w:val="21"/>
        </w:rPr>
        <w:t>系统</w:t>
      </w:r>
      <w:r>
        <w:rPr>
          <w:rFonts w:hint="eastAsia"/>
          <w:color w:val="auto"/>
          <w:szCs w:val="21"/>
          <w:lang w:eastAsia="zh-CN"/>
        </w:rPr>
        <w:t>适配</w:t>
      </w:r>
      <w:r>
        <w:rPr>
          <w:rFonts w:hint="eastAsia"/>
          <w:color w:val="auto"/>
          <w:szCs w:val="21"/>
        </w:rPr>
        <w:t>由招标人组织，投标人配合。</w:t>
      </w:r>
    </w:p>
    <w:p w14:paraId="35B0ADF9">
      <w:pPr>
        <w:pStyle w:val="5"/>
        <w:rPr>
          <w:color w:val="auto"/>
          <w:szCs w:val="21"/>
        </w:rPr>
      </w:pPr>
      <w:r>
        <w:rPr>
          <w:color w:val="auto"/>
          <w:szCs w:val="21"/>
        </w:rPr>
        <w:t>测试仪器仪表</w:t>
      </w:r>
    </w:p>
    <w:p w14:paraId="358E2346">
      <w:pPr>
        <w:pStyle w:val="1221"/>
        <w:jc w:val="both"/>
        <w:rPr>
          <w:szCs w:val="21"/>
        </w:rPr>
      </w:pPr>
      <w:r>
        <w:rPr>
          <w:szCs w:val="21"/>
        </w:rPr>
        <w:t>投标人应免费提供合适的现场测试、调试仪器和仪表，并指定专人负责排除仪器和仪表在测试过程中发生的故障。</w:t>
      </w:r>
    </w:p>
    <w:p w14:paraId="296702CA">
      <w:pPr>
        <w:pStyle w:val="1221"/>
        <w:jc w:val="both"/>
        <w:rPr>
          <w:szCs w:val="21"/>
        </w:rPr>
      </w:pPr>
      <w:r>
        <w:rPr>
          <w:szCs w:val="21"/>
        </w:rPr>
        <w:t>投标人应负责测试仪器、仪表的校验与标定。</w:t>
      </w:r>
      <w:r>
        <w:rPr>
          <w:rFonts w:hint="eastAsia"/>
          <w:szCs w:val="21"/>
        </w:rPr>
        <w:t>若</w:t>
      </w:r>
      <w:r>
        <w:rPr>
          <w:szCs w:val="21"/>
        </w:rPr>
        <w:t>招标人</w:t>
      </w:r>
      <w:r>
        <w:rPr>
          <w:rFonts w:hint="eastAsia"/>
          <w:szCs w:val="21"/>
        </w:rPr>
        <w:t>要求</w:t>
      </w:r>
      <w:r>
        <w:rPr>
          <w:szCs w:val="21"/>
        </w:rPr>
        <w:t>，投标人应在测试工作开始之前，对测试仪器进行标定，并由规定的计量实验机构测定其精度。</w:t>
      </w:r>
    </w:p>
    <w:p w14:paraId="78CA1A88">
      <w:pPr>
        <w:pStyle w:val="4"/>
        <w:rPr>
          <w:sz w:val="21"/>
          <w:szCs w:val="21"/>
        </w:rPr>
      </w:pPr>
      <w:bookmarkStart w:id="1777" w:name="_Toc218142213"/>
      <w:bookmarkStart w:id="1778" w:name="_Toc234326035"/>
      <w:bookmarkStart w:id="1779" w:name="_Toc128138743"/>
      <w:bookmarkStart w:id="1780" w:name="_Toc234326303"/>
      <w:bookmarkStart w:id="1781" w:name="_Toc212869984"/>
      <w:bookmarkStart w:id="1782" w:name="_Toc231185200"/>
      <w:bookmarkStart w:id="1783" w:name="_Toc128137449"/>
      <w:bookmarkStart w:id="1784" w:name="_Toc12451"/>
      <w:bookmarkStart w:id="1785" w:name="_Toc128122960"/>
      <w:bookmarkStart w:id="1786" w:name="_Toc218143473"/>
      <w:bookmarkStart w:id="1787" w:name="_Toc213477286"/>
      <w:bookmarkStart w:id="1788" w:name="_Toc218141243"/>
      <w:bookmarkStart w:id="1789" w:name="_Toc237702941"/>
      <w:bookmarkStart w:id="1790" w:name="_Toc218145829"/>
      <w:bookmarkStart w:id="1791" w:name="_Toc217105798"/>
      <w:bookmarkStart w:id="1792" w:name="_Toc218141711"/>
      <w:bookmarkStart w:id="1793" w:name="_Toc214703985"/>
      <w:bookmarkStart w:id="1794" w:name="_Toc213407881"/>
      <w:bookmarkStart w:id="1795" w:name="_Toc128139639"/>
      <w:bookmarkStart w:id="1796" w:name="_Toc218144947"/>
      <w:bookmarkStart w:id="1797" w:name="_Toc128140614"/>
      <w:bookmarkStart w:id="1798" w:name="_Toc213477532"/>
      <w:bookmarkStart w:id="1799" w:name="_Toc128141039"/>
      <w:bookmarkStart w:id="1800" w:name="_Toc234326839"/>
      <w:bookmarkStart w:id="1801" w:name="_Toc290373459"/>
      <w:bookmarkStart w:id="1802" w:name="_Toc15501"/>
      <w:bookmarkStart w:id="1803" w:name="_Toc218144194"/>
      <w:bookmarkStart w:id="1804" w:name="_Toc214704483"/>
      <w:bookmarkStart w:id="1805" w:name="_Toc128140047"/>
      <w:bookmarkStart w:id="1806" w:name="_Toc218144445"/>
      <w:bookmarkStart w:id="1807" w:name="_Toc218141962"/>
      <w:bookmarkStart w:id="1808" w:name="_Toc218147372"/>
      <w:bookmarkStart w:id="1809" w:name="_Toc128141217"/>
      <w:bookmarkStart w:id="1810" w:name="_Toc214704234"/>
      <w:bookmarkStart w:id="1811" w:name="_Toc215885581"/>
      <w:bookmarkStart w:id="1812" w:name="_Toc234326571"/>
      <w:bookmarkStart w:id="1813" w:name="_Toc131867924"/>
      <w:bookmarkStart w:id="1814" w:name="_Toc212872626"/>
      <w:bookmarkStart w:id="1815" w:name="_Toc212875138"/>
      <w:bookmarkStart w:id="1816" w:name="_Toc218147623"/>
      <w:bookmarkStart w:id="1817" w:name="_Toc130291595"/>
      <w:bookmarkStart w:id="1818" w:name="_Toc128138127"/>
      <w:bookmarkStart w:id="1819" w:name="_Toc218143904"/>
      <w:bookmarkStart w:id="1820" w:name="_Toc128141516"/>
      <w:bookmarkStart w:id="1821" w:name="_Toc128139358"/>
      <w:bookmarkStart w:id="1822" w:name="_Toc215889494"/>
      <w:bookmarkStart w:id="1823" w:name="_Toc212873946"/>
      <w:bookmarkStart w:id="1824" w:name="_Toc259981568"/>
      <w:bookmarkStart w:id="1825" w:name="_Toc128137865"/>
      <w:bookmarkStart w:id="1826" w:name="_Toc128120990"/>
      <w:bookmarkStart w:id="1827" w:name="_Toc218144696"/>
      <w:bookmarkStart w:id="1828" w:name="_Toc128139145"/>
      <w:bookmarkStart w:id="1829" w:name="_Toc218145247"/>
      <w:bookmarkStart w:id="1830" w:name="_Toc128223320"/>
      <w:r>
        <w:rPr>
          <w:sz w:val="21"/>
          <w:szCs w:val="21"/>
        </w:rPr>
        <w:t>预验收</w:t>
      </w:r>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p>
    <w:p w14:paraId="34C7FAA3">
      <w:pPr>
        <w:pStyle w:val="5"/>
        <w:rPr>
          <w:color w:val="auto"/>
          <w:szCs w:val="21"/>
        </w:rPr>
      </w:pPr>
      <w:r>
        <w:rPr>
          <w:color w:val="auto"/>
          <w:szCs w:val="21"/>
        </w:rPr>
        <w:t>在设备进行现场调试</w:t>
      </w:r>
      <w:r>
        <w:rPr>
          <w:rFonts w:hint="eastAsia"/>
          <w:color w:val="auto"/>
          <w:szCs w:val="21"/>
        </w:rPr>
        <w:t>后</w:t>
      </w:r>
      <w:r>
        <w:rPr>
          <w:color w:val="auto"/>
          <w:szCs w:val="21"/>
        </w:rPr>
        <w:t>，投标人</w:t>
      </w:r>
      <w:r>
        <w:rPr>
          <w:rFonts w:hint="eastAsia"/>
          <w:color w:val="auto"/>
          <w:szCs w:val="21"/>
        </w:rPr>
        <w:t>须</w:t>
      </w:r>
      <w:r>
        <w:rPr>
          <w:color w:val="auto"/>
          <w:szCs w:val="21"/>
        </w:rPr>
        <w:t>提前28天</w:t>
      </w:r>
      <w:r>
        <w:rPr>
          <w:rFonts w:hint="eastAsia"/>
          <w:color w:val="auto"/>
          <w:szCs w:val="21"/>
        </w:rPr>
        <w:t>（或</w:t>
      </w:r>
      <w:r>
        <w:rPr>
          <w:rFonts w:hint="eastAsia" w:hAnsi="宋体"/>
          <w:color w:val="auto"/>
          <w:szCs w:val="21"/>
        </w:rPr>
        <w:t>按照招标人的具体规定</w:t>
      </w:r>
      <w:r>
        <w:rPr>
          <w:rFonts w:hint="eastAsia"/>
          <w:color w:val="auto"/>
          <w:szCs w:val="21"/>
        </w:rPr>
        <w:t>）向</w:t>
      </w:r>
      <w:r>
        <w:rPr>
          <w:color w:val="auto"/>
          <w:szCs w:val="21"/>
        </w:rPr>
        <w:t>招标人申请对系统进行预验收。</w:t>
      </w:r>
    </w:p>
    <w:p w14:paraId="168D1344">
      <w:pPr>
        <w:pStyle w:val="5"/>
        <w:rPr>
          <w:color w:val="auto"/>
          <w:szCs w:val="21"/>
        </w:rPr>
      </w:pPr>
      <w:r>
        <w:rPr>
          <w:color w:val="auto"/>
          <w:szCs w:val="21"/>
        </w:rPr>
        <w:t>通过预验收后，招标人将出具预验收报告。投标人依据预验收报告，修补缺陷，并准备参加试运行。</w:t>
      </w:r>
    </w:p>
    <w:p w14:paraId="6CF2FE30">
      <w:pPr>
        <w:pStyle w:val="4"/>
        <w:ind w:left="340"/>
        <w:rPr>
          <w:sz w:val="21"/>
          <w:szCs w:val="21"/>
        </w:rPr>
      </w:pPr>
      <w:bookmarkStart w:id="1831" w:name="_Toc214704235"/>
      <w:bookmarkStart w:id="1832" w:name="_Toc259981569"/>
      <w:bookmarkStart w:id="1833" w:name="_Toc128139640"/>
      <w:bookmarkStart w:id="1834" w:name="_Toc528631183"/>
      <w:bookmarkStart w:id="1835" w:name="_Toc212873947"/>
      <w:bookmarkStart w:id="1836" w:name="_Toc218143474"/>
      <w:bookmarkStart w:id="1837" w:name="_Toc212875139"/>
      <w:bookmarkStart w:id="1838" w:name="_Toc218145248"/>
      <w:bookmarkStart w:id="1839" w:name="_Toc128137450"/>
      <w:bookmarkStart w:id="1840" w:name="_Toc218141963"/>
      <w:bookmarkStart w:id="1841" w:name="_Toc128138744"/>
      <w:bookmarkStart w:id="1842" w:name="_Toc128141517"/>
      <w:bookmarkStart w:id="1843" w:name="_Toc128137866"/>
      <w:bookmarkStart w:id="1844" w:name="_Toc218144446"/>
      <w:bookmarkStart w:id="1845" w:name="_Toc128120991"/>
      <w:bookmarkStart w:id="1846" w:name="_Toc32595"/>
      <w:bookmarkStart w:id="1847" w:name="_Toc128122961"/>
      <w:bookmarkStart w:id="1848" w:name="_Toc212869985"/>
      <w:bookmarkStart w:id="1849" w:name="_Toc218147624"/>
      <w:bookmarkStart w:id="1850" w:name="_Toc218145830"/>
      <w:bookmarkStart w:id="1851" w:name="_Toc128141218"/>
      <w:bookmarkStart w:id="1852" w:name="_Toc237702942"/>
      <w:bookmarkStart w:id="1853" w:name="_Toc217105799"/>
      <w:bookmarkStart w:id="1854" w:name="_Toc218141244"/>
      <w:bookmarkStart w:id="1855" w:name="_Toc130291596"/>
      <w:bookmarkStart w:id="1856" w:name="_Toc212872627"/>
      <w:bookmarkStart w:id="1857" w:name="_Toc128139146"/>
      <w:bookmarkStart w:id="1858" w:name="_Toc215889495"/>
      <w:bookmarkStart w:id="1859" w:name="_Toc131867925"/>
      <w:bookmarkStart w:id="1860" w:name="_Toc213477533"/>
      <w:bookmarkStart w:id="1861" w:name="_Toc218144195"/>
      <w:bookmarkStart w:id="1862" w:name="_Toc218142214"/>
      <w:bookmarkStart w:id="1863" w:name="_Toc218144697"/>
      <w:bookmarkStart w:id="1864" w:name="_Toc234326572"/>
      <w:bookmarkStart w:id="1865" w:name="_Toc218147373"/>
      <w:bookmarkStart w:id="1866" w:name="_Toc128140048"/>
      <w:bookmarkStart w:id="1867" w:name="_Toc215885582"/>
      <w:bookmarkStart w:id="1868" w:name="_Toc290373460"/>
      <w:bookmarkStart w:id="1869" w:name="_Toc128138128"/>
      <w:bookmarkStart w:id="1870" w:name="_Toc213477287"/>
      <w:bookmarkStart w:id="1871" w:name="_Toc234326304"/>
      <w:bookmarkStart w:id="1872" w:name="_Toc218143905"/>
      <w:bookmarkStart w:id="1873" w:name="_Toc128140615"/>
      <w:bookmarkStart w:id="1874" w:name="_Toc213407882"/>
      <w:bookmarkStart w:id="1875" w:name="_Toc214703986"/>
      <w:bookmarkStart w:id="1876" w:name="_Toc214704484"/>
      <w:bookmarkStart w:id="1877" w:name="_Toc234326840"/>
      <w:bookmarkStart w:id="1878" w:name="_Toc231185201"/>
      <w:bookmarkStart w:id="1879" w:name="_Toc218141712"/>
      <w:bookmarkStart w:id="1880" w:name="_Toc3562"/>
      <w:bookmarkStart w:id="1881" w:name="_Toc128223321"/>
      <w:bookmarkStart w:id="1882" w:name="_Toc234326036"/>
      <w:bookmarkStart w:id="1883" w:name="_Toc218144948"/>
      <w:bookmarkStart w:id="1884" w:name="_Toc128141040"/>
      <w:bookmarkStart w:id="1885" w:name="_Toc128139359"/>
      <w:r>
        <w:rPr>
          <w:sz w:val="21"/>
          <w:szCs w:val="21"/>
        </w:rPr>
        <w:t>试运行</w:t>
      </w:r>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p>
    <w:p w14:paraId="6BDB3FE5">
      <w:pPr>
        <w:pStyle w:val="5"/>
        <w:rPr>
          <w:color w:val="auto"/>
          <w:szCs w:val="21"/>
        </w:rPr>
      </w:pPr>
      <w:r>
        <w:rPr>
          <w:color w:val="auto"/>
          <w:szCs w:val="21"/>
        </w:rPr>
        <w:t>试运行旨在把所有合同设备、系统及材料放在实际负荷环境中作为一个不可分割的系统进行检测，以查明合同中规定的要求是否达到。</w:t>
      </w:r>
    </w:p>
    <w:p w14:paraId="0DC8A23D">
      <w:pPr>
        <w:pStyle w:val="5"/>
        <w:rPr>
          <w:color w:val="auto"/>
          <w:szCs w:val="21"/>
        </w:rPr>
      </w:pPr>
      <w:r>
        <w:rPr>
          <w:color w:val="auto"/>
          <w:szCs w:val="21"/>
        </w:rPr>
        <w:t>在试运行开始前，投标人应保证</w:t>
      </w:r>
      <w:r>
        <w:rPr>
          <w:rFonts w:hint="eastAsia"/>
          <w:color w:val="auto"/>
          <w:szCs w:val="21"/>
        </w:rPr>
        <w:t>本项目</w:t>
      </w:r>
      <w:r>
        <w:rPr>
          <w:color w:val="auto"/>
          <w:szCs w:val="21"/>
        </w:rPr>
        <w:t>系统完全调试开通，并保持良好状态。</w:t>
      </w:r>
    </w:p>
    <w:p w14:paraId="4DC30438">
      <w:pPr>
        <w:pStyle w:val="5"/>
        <w:rPr>
          <w:color w:val="auto"/>
          <w:szCs w:val="21"/>
        </w:rPr>
      </w:pPr>
      <w:r>
        <w:rPr>
          <w:color w:val="auto"/>
          <w:szCs w:val="21"/>
        </w:rPr>
        <w:t>试运行由</w:t>
      </w:r>
      <w:r>
        <w:rPr>
          <w:rFonts w:hint="eastAsia"/>
          <w:color w:val="auto"/>
          <w:szCs w:val="21"/>
        </w:rPr>
        <w:t>招标人负责组织实施，</w:t>
      </w:r>
      <w:r>
        <w:rPr>
          <w:color w:val="auto"/>
          <w:szCs w:val="21"/>
        </w:rPr>
        <w:t>招标人和投标人共同参加。</w:t>
      </w:r>
    </w:p>
    <w:p w14:paraId="4AF32824">
      <w:pPr>
        <w:pStyle w:val="5"/>
        <w:rPr>
          <w:color w:val="auto"/>
          <w:szCs w:val="21"/>
        </w:rPr>
      </w:pPr>
      <w:r>
        <w:rPr>
          <w:color w:val="auto"/>
          <w:szCs w:val="21"/>
        </w:rPr>
        <w:t>试运行时间为连续三个月。在试运行期间，所有设备、材料和</w:t>
      </w:r>
      <w:r>
        <w:rPr>
          <w:rFonts w:hint="eastAsia"/>
          <w:color w:val="auto"/>
          <w:szCs w:val="21"/>
        </w:rPr>
        <w:t>（</w:t>
      </w:r>
      <w:r>
        <w:rPr>
          <w:color w:val="auto"/>
          <w:szCs w:val="21"/>
        </w:rPr>
        <w:t>子</w:t>
      </w:r>
      <w:r>
        <w:rPr>
          <w:rFonts w:hint="eastAsia"/>
          <w:color w:val="auto"/>
          <w:szCs w:val="21"/>
        </w:rPr>
        <w:t>）</w:t>
      </w:r>
      <w:r>
        <w:rPr>
          <w:color w:val="auto"/>
          <w:szCs w:val="21"/>
        </w:rPr>
        <w:t>系统均须按实际操作模式无故障连续运行。如果由于投标人的原因造成系统不能连续无故障运行三个月，则应在故障修复后重新开始3个月的试运行。这种修改和调整的机会只有2次。若第三次试验仍通不过，则视该系统为不符合要求的系统</w:t>
      </w:r>
      <w:r>
        <w:rPr>
          <w:rFonts w:hint="eastAsia"/>
          <w:color w:val="auto"/>
          <w:szCs w:val="21"/>
        </w:rPr>
        <w:t>，投标人无条件以最短的时间进行整改（包括无条件更换相关设备或材料）。</w:t>
      </w:r>
      <w:r>
        <w:rPr>
          <w:color w:val="auto"/>
          <w:szCs w:val="21"/>
        </w:rPr>
        <w:t>由此引起的一切费用由投标人承担，并赔偿招标人</w:t>
      </w:r>
      <w:r>
        <w:rPr>
          <w:rFonts w:hint="eastAsia"/>
          <w:color w:val="auto"/>
          <w:szCs w:val="21"/>
        </w:rPr>
        <w:t>一切</w:t>
      </w:r>
      <w:r>
        <w:rPr>
          <w:color w:val="auto"/>
          <w:szCs w:val="21"/>
        </w:rPr>
        <w:t>损失。</w:t>
      </w:r>
    </w:p>
    <w:p w14:paraId="7C499AB5">
      <w:pPr>
        <w:pStyle w:val="5"/>
        <w:rPr>
          <w:color w:val="auto"/>
          <w:szCs w:val="21"/>
        </w:rPr>
      </w:pPr>
      <w:r>
        <w:rPr>
          <w:color w:val="auto"/>
          <w:szCs w:val="21"/>
        </w:rPr>
        <w:t>投标人应及时修理或更换不符合合同要求的任何设备，因此而发生的一切费用由投标人承担。</w:t>
      </w:r>
    </w:p>
    <w:p w14:paraId="4B2F6426">
      <w:pPr>
        <w:pStyle w:val="5"/>
        <w:rPr>
          <w:color w:val="auto"/>
          <w:szCs w:val="21"/>
        </w:rPr>
      </w:pPr>
      <w:r>
        <w:rPr>
          <w:color w:val="auto"/>
          <w:szCs w:val="21"/>
        </w:rPr>
        <w:t>在试运行期间，不论系统（设备）发生任何故障，投标人都应在2小时内（节、假日也不例外</w:t>
      </w:r>
      <w:r>
        <w:rPr>
          <w:rFonts w:hint="eastAsia"/>
          <w:color w:val="auto"/>
          <w:szCs w:val="21"/>
        </w:rPr>
        <w:t>（或在招标人规定的时间内）</w:t>
      </w:r>
      <w:r>
        <w:rPr>
          <w:color w:val="auto"/>
          <w:szCs w:val="21"/>
        </w:rPr>
        <w:t>）修复（排除）。</w:t>
      </w:r>
      <w:r>
        <w:rPr>
          <w:rFonts w:hint="eastAsia"/>
          <w:color w:val="auto"/>
          <w:szCs w:val="21"/>
        </w:rPr>
        <w:t>各系统响应时间均为半个小时。</w:t>
      </w:r>
    </w:p>
    <w:p w14:paraId="6FC99DCE">
      <w:pPr>
        <w:pStyle w:val="5"/>
        <w:rPr>
          <w:color w:val="auto"/>
          <w:szCs w:val="21"/>
        </w:rPr>
      </w:pPr>
      <w:r>
        <w:rPr>
          <w:color w:val="auto"/>
          <w:szCs w:val="21"/>
        </w:rPr>
        <w:t>试运行期间，各系统不允许出现系统性、可靠性故障。各系统的系统性和可靠性按以下情况认定（以下认定不包括与市话网、</w:t>
      </w:r>
      <w:r>
        <w:rPr>
          <w:rFonts w:hint="eastAsia"/>
          <w:color w:val="auto"/>
          <w:szCs w:val="21"/>
        </w:rPr>
        <w:t>移动运营商</w:t>
      </w:r>
      <w:r>
        <w:rPr>
          <w:color w:val="auto"/>
          <w:szCs w:val="21"/>
        </w:rPr>
        <w:t>等外部接口有关的内容）：</w:t>
      </w:r>
    </w:p>
    <w:p w14:paraId="7CCCBA40">
      <w:pPr>
        <w:pStyle w:val="4"/>
        <w:rPr>
          <w:sz w:val="21"/>
          <w:szCs w:val="21"/>
        </w:rPr>
      </w:pPr>
      <w:bookmarkStart w:id="1886" w:name="_Toc529395455"/>
      <w:bookmarkEnd w:id="1886"/>
      <w:bookmarkStart w:id="1887" w:name="_Toc965"/>
      <w:bookmarkStart w:id="1888" w:name="_Toc13919"/>
      <w:r>
        <w:rPr>
          <w:rFonts w:hint="eastAsia"/>
          <w:sz w:val="21"/>
          <w:szCs w:val="21"/>
        </w:rPr>
        <w:t>资产登记</w:t>
      </w:r>
      <w:bookmarkEnd w:id="1887"/>
      <w:bookmarkEnd w:id="1888"/>
    </w:p>
    <w:p w14:paraId="59E8E399">
      <w:pPr>
        <w:pStyle w:val="5"/>
        <w:rPr>
          <w:color w:val="auto"/>
          <w:szCs w:val="21"/>
        </w:rPr>
      </w:pPr>
      <w:r>
        <w:rPr>
          <w:rFonts w:hint="eastAsia"/>
          <w:color w:val="auto"/>
          <w:szCs w:val="21"/>
        </w:rPr>
        <w:t>在本项目实施过程中，投标人须按照招标人提供的格式及要求，持续并准确更新资产登记表，工作内容包括但不限于提供具体、详细的资产登记纸质文件和电子文件等。投标人须在</w:t>
      </w:r>
      <w:r>
        <w:rPr>
          <w:rFonts w:hint="eastAsia"/>
          <w:color w:val="auto"/>
          <w:szCs w:val="21"/>
          <w:lang w:val="en-US"/>
        </w:rPr>
        <w:t>竣工验收前</w:t>
      </w:r>
      <w:r>
        <w:rPr>
          <w:rFonts w:hint="eastAsia"/>
          <w:color w:val="auto"/>
          <w:szCs w:val="21"/>
        </w:rPr>
        <w:t>协助招标人完成资产登记工作。此项工作将作为本项目验收合格的必要条件。</w:t>
      </w:r>
    </w:p>
    <w:p w14:paraId="34ABD2C9">
      <w:pPr>
        <w:pStyle w:val="4"/>
        <w:ind w:left="340"/>
        <w:rPr>
          <w:sz w:val="21"/>
          <w:szCs w:val="21"/>
        </w:rPr>
      </w:pPr>
      <w:bookmarkStart w:id="1889" w:name="_Toc272569124"/>
      <w:bookmarkStart w:id="1890" w:name="_Toc275877173"/>
      <w:bookmarkStart w:id="1891" w:name="_Toc274551656"/>
      <w:bookmarkStart w:id="1892" w:name="_Toc272572631"/>
      <w:bookmarkStart w:id="1893" w:name="_Toc272569674"/>
      <w:bookmarkStart w:id="1894" w:name="_Toc272572087"/>
      <w:bookmarkStart w:id="1895" w:name="_Toc272568574"/>
      <w:bookmarkStart w:id="1896" w:name="_Toc275187335"/>
      <w:bookmarkStart w:id="1897" w:name="_Toc273350196"/>
      <w:bookmarkStart w:id="1898" w:name="_Toc274059448"/>
      <w:bookmarkStart w:id="1899" w:name="_Toc272571270"/>
      <w:bookmarkStart w:id="1900" w:name="_Toc272669613"/>
      <w:bookmarkStart w:id="1901" w:name="_Toc272572903"/>
      <w:bookmarkStart w:id="1902" w:name="_Toc272570968"/>
      <w:bookmarkStart w:id="1903" w:name="_Toc273349919"/>
      <w:bookmarkStart w:id="1904" w:name="_Toc272572359"/>
      <w:bookmarkStart w:id="1905" w:name="_Toc275260849"/>
      <w:bookmarkStart w:id="1906" w:name="_Toc277752411"/>
      <w:bookmarkStart w:id="1907" w:name="_Toc272569399"/>
      <w:bookmarkStart w:id="1908" w:name="_Toc272491095"/>
      <w:bookmarkStart w:id="1909" w:name="_Toc272573720"/>
      <w:bookmarkStart w:id="1910" w:name="_Toc9236"/>
      <w:bookmarkStart w:id="1911" w:name="_Toc272568849"/>
      <w:bookmarkStart w:id="1912" w:name="_Toc272570219"/>
      <w:bookmarkStart w:id="1913" w:name="_Toc272436866"/>
      <w:bookmarkStart w:id="1914" w:name="_Toc29646"/>
      <w:bookmarkStart w:id="1915" w:name="_Toc272573447"/>
      <w:bookmarkStart w:id="1916" w:name="_Toc272568052"/>
      <w:bookmarkStart w:id="1917" w:name="_Toc272571542"/>
      <w:bookmarkStart w:id="1918" w:name="_Toc528631185"/>
      <w:bookmarkStart w:id="1919" w:name="_Toc272575750"/>
      <w:bookmarkStart w:id="1920" w:name="_Toc270691678"/>
      <w:bookmarkStart w:id="1921" w:name="_Toc272670272"/>
      <w:bookmarkStart w:id="1922" w:name="_Toc277242430"/>
      <w:bookmarkStart w:id="1923" w:name="_Toc272569947"/>
      <w:bookmarkStart w:id="1924" w:name="_Toc272573175"/>
      <w:bookmarkStart w:id="1925" w:name="_Toc278137946"/>
      <w:r>
        <w:rPr>
          <w:rFonts w:hint="eastAsia"/>
          <w:sz w:val="21"/>
          <w:szCs w:val="21"/>
        </w:rPr>
        <w:t>竣工验收</w:t>
      </w:r>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p>
    <w:p w14:paraId="152418C9">
      <w:pPr>
        <w:pStyle w:val="5"/>
        <w:ind w:left="340"/>
        <w:rPr>
          <w:color w:val="auto"/>
          <w:szCs w:val="21"/>
        </w:rPr>
      </w:pPr>
      <w:bookmarkStart w:id="1926" w:name="_Toc272570969"/>
      <w:r>
        <w:rPr>
          <w:rFonts w:hint="eastAsia"/>
          <w:color w:val="auto"/>
          <w:szCs w:val="21"/>
        </w:rPr>
        <w:t>投标人确认各系统均以顺利通过3个月的试运行考核，并且所存在的问题已整改完毕后，向招标人申请工程竣工验收。</w:t>
      </w:r>
      <w:bookmarkEnd w:id="1926"/>
    </w:p>
    <w:p w14:paraId="7FA67BD3">
      <w:pPr>
        <w:pStyle w:val="5"/>
        <w:ind w:left="340"/>
        <w:rPr>
          <w:color w:val="auto"/>
          <w:szCs w:val="21"/>
        </w:rPr>
      </w:pPr>
      <w:bookmarkStart w:id="1927" w:name="_Toc272570970"/>
      <w:r>
        <w:rPr>
          <w:rFonts w:hint="eastAsia"/>
          <w:color w:val="auto"/>
          <w:szCs w:val="21"/>
        </w:rPr>
        <w:t>工程竣工验收由招标人组织，投标人参加。工程竣工验收通过后，向投标人签发“竣工</w:t>
      </w:r>
      <w:r>
        <w:rPr>
          <w:rFonts w:hint="eastAsia"/>
          <w:color w:val="auto"/>
          <w:szCs w:val="21"/>
          <w:lang w:val="en-US"/>
        </w:rPr>
        <w:t>验收</w:t>
      </w:r>
      <w:r>
        <w:rPr>
          <w:rFonts w:hint="eastAsia"/>
          <w:color w:val="auto"/>
          <w:szCs w:val="21"/>
        </w:rPr>
        <w:t>证书”。</w:t>
      </w:r>
      <w:bookmarkEnd w:id="1927"/>
    </w:p>
    <w:p w14:paraId="759F57CC">
      <w:pPr>
        <w:pStyle w:val="5"/>
        <w:ind w:left="340"/>
        <w:rPr>
          <w:color w:val="auto"/>
          <w:szCs w:val="21"/>
        </w:rPr>
      </w:pPr>
      <w:bookmarkStart w:id="1928" w:name="_Toc272570971"/>
      <w:r>
        <w:rPr>
          <w:rFonts w:hint="eastAsia"/>
          <w:color w:val="auto"/>
          <w:szCs w:val="21"/>
        </w:rPr>
        <w:t>竣工验收时，投标人应提供：所有最终版本技术文件、竣工图纸、部件功能描述、配线图、模块电路图、维修与保养手册、操作手册、安装手册以及设备台账，以上文件需经主要项目人员及项目经理签字。</w:t>
      </w:r>
      <w:bookmarkEnd w:id="1928"/>
    </w:p>
    <w:p w14:paraId="1B185EEC">
      <w:pPr>
        <w:pStyle w:val="5"/>
        <w:ind w:left="340"/>
        <w:rPr>
          <w:color w:val="auto"/>
          <w:szCs w:val="21"/>
        </w:rPr>
      </w:pPr>
      <w:bookmarkStart w:id="1929" w:name="_Toc272570972"/>
      <w:r>
        <w:rPr>
          <w:rFonts w:hint="eastAsia"/>
          <w:color w:val="auto"/>
          <w:szCs w:val="21"/>
        </w:rPr>
        <w:t>竣工验收文件的内容和文整应遵守南宁市档案管理及招标人有关档案管理的规定。同时投标人应按招标人要求提交设备资产详细资料。</w:t>
      </w:r>
      <w:bookmarkEnd w:id="1929"/>
    </w:p>
    <w:p w14:paraId="0C773FA0">
      <w:pPr>
        <w:pStyle w:val="4"/>
        <w:rPr>
          <w:sz w:val="21"/>
          <w:szCs w:val="21"/>
        </w:rPr>
      </w:pPr>
      <w:bookmarkStart w:id="1930" w:name="_Toc529395459"/>
      <w:bookmarkEnd w:id="1930"/>
      <w:bookmarkStart w:id="1931" w:name="_Toc234326037"/>
      <w:bookmarkStart w:id="1932" w:name="_Toc234326841"/>
      <w:bookmarkStart w:id="1933" w:name="_Toc16514"/>
      <w:bookmarkStart w:id="1934" w:name="_Toc259981570"/>
      <w:bookmarkStart w:id="1935" w:name="_Toc231185202"/>
      <w:bookmarkStart w:id="1936" w:name="_Toc290373461"/>
      <w:bookmarkStart w:id="1937" w:name="_Toc237702943"/>
      <w:bookmarkStart w:id="1938" w:name="_Toc234326573"/>
      <w:bookmarkStart w:id="1939" w:name="_Toc28137"/>
      <w:bookmarkStart w:id="1940" w:name="_Toc234326305"/>
      <w:bookmarkStart w:id="1941" w:name="_Toc218144698"/>
      <w:bookmarkStart w:id="1942" w:name="_Toc215885583"/>
      <w:bookmarkStart w:id="1943" w:name="_Toc218144949"/>
      <w:bookmarkStart w:id="1944" w:name="_Toc128141518"/>
      <w:bookmarkStart w:id="1945" w:name="_Toc218144447"/>
      <w:bookmarkStart w:id="1946" w:name="_Toc128139360"/>
      <w:bookmarkStart w:id="1947" w:name="_Toc128138745"/>
      <w:bookmarkStart w:id="1948" w:name="_Toc218144196"/>
      <w:bookmarkStart w:id="1949" w:name="_Toc214703987"/>
      <w:bookmarkStart w:id="1950" w:name="_Toc130291597"/>
      <w:bookmarkStart w:id="1951" w:name="_Toc128139641"/>
      <w:bookmarkStart w:id="1952" w:name="_Toc218145249"/>
      <w:bookmarkStart w:id="1953" w:name="_Toc128137867"/>
      <w:bookmarkStart w:id="1954" w:name="_Toc218147374"/>
      <w:bookmarkStart w:id="1955" w:name="_Toc128140049"/>
      <w:bookmarkStart w:id="1956" w:name="_Toc218141245"/>
      <w:bookmarkStart w:id="1957" w:name="_Toc128120992"/>
      <w:bookmarkStart w:id="1958" w:name="_Toc215889496"/>
      <w:bookmarkStart w:id="1959" w:name="_Toc212875140"/>
      <w:bookmarkStart w:id="1960" w:name="_Toc212872628"/>
      <w:bookmarkStart w:id="1961" w:name="_Toc218142215"/>
      <w:bookmarkStart w:id="1962" w:name="_Toc218145831"/>
      <w:bookmarkStart w:id="1963" w:name="_Toc128122962"/>
      <w:bookmarkStart w:id="1964" w:name="_Toc128141041"/>
      <w:bookmarkStart w:id="1965" w:name="_Toc128138129"/>
      <w:bookmarkStart w:id="1966" w:name="_Toc128140616"/>
      <w:bookmarkStart w:id="1967" w:name="_Toc217105800"/>
      <w:bookmarkStart w:id="1968" w:name="_Toc218141713"/>
      <w:bookmarkStart w:id="1969" w:name="_Toc128137451"/>
      <w:bookmarkStart w:id="1970" w:name="_Toc214704236"/>
      <w:bookmarkStart w:id="1971" w:name="_Toc218141964"/>
      <w:bookmarkStart w:id="1972" w:name="_Toc131867926"/>
      <w:bookmarkStart w:id="1973" w:name="_Toc218147625"/>
      <w:bookmarkStart w:id="1974" w:name="_Toc213407883"/>
      <w:bookmarkStart w:id="1975" w:name="_Toc214704485"/>
      <w:bookmarkStart w:id="1976" w:name="_Toc128223322"/>
      <w:bookmarkStart w:id="1977" w:name="_Toc218143475"/>
      <w:bookmarkStart w:id="1978" w:name="_Toc213477534"/>
      <w:bookmarkStart w:id="1979" w:name="_Toc128139147"/>
      <w:bookmarkStart w:id="1980" w:name="_Toc218143906"/>
      <w:bookmarkStart w:id="1981" w:name="_Toc212869986"/>
      <w:bookmarkStart w:id="1982" w:name="_Toc212873948"/>
      <w:bookmarkStart w:id="1983" w:name="_Toc213477288"/>
      <w:bookmarkStart w:id="1984" w:name="_Toc128141219"/>
      <w:r>
        <w:rPr>
          <w:sz w:val="21"/>
          <w:szCs w:val="21"/>
        </w:rPr>
        <w:t>质量保证期</w:t>
      </w:r>
      <w:bookmarkEnd w:id="1931"/>
      <w:bookmarkEnd w:id="1932"/>
      <w:bookmarkEnd w:id="1933"/>
      <w:bookmarkEnd w:id="1934"/>
      <w:bookmarkEnd w:id="1935"/>
      <w:bookmarkEnd w:id="1936"/>
      <w:bookmarkEnd w:id="1937"/>
      <w:bookmarkEnd w:id="1938"/>
      <w:bookmarkEnd w:id="1939"/>
      <w:bookmarkEnd w:id="1940"/>
    </w:p>
    <w:p w14:paraId="68A58C07">
      <w:pPr>
        <w:pStyle w:val="5"/>
        <w:rPr>
          <w:color w:val="auto"/>
          <w:szCs w:val="21"/>
        </w:rPr>
      </w:pPr>
      <w:r>
        <w:rPr>
          <w:color w:val="auto"/>
          <w:szCs w:val="21"/>
        </w:rPr>
        <w:t>从系统验收合格证书签发之日算起，质量保证期为</w:t>
      </w:r>
      <w:r>
        <w:rPr>
          <w:rFonts w:hint="eastAsia"/>
          <w:color w:val="auto"/>
          <w:szCs w:val="21"/>
        </w:rPr>
        <w:t>36</w:t>
      </w:r>
      <w:r>
        <w:rPr>
          <w:color w:val="auto"/>
          <w:szCs w:val="21"/>
        </w:rPr>
        <w:t>个月</w:t>
      </w:r>
      <w:r>
        <w:rPr>
          <w:rFonts w:hint="eastAsia"/>
          <w:color w:val="auto"/>
          <w:szCs w:val="21"/>
        </w:rPr>
        <w:t>。在质保期期间，投标人负责免费更换故障设备、消除系统或设备本身的缺陷或不足部分。若投标人在约定的质保期内未能完成本招标文件的全部要求，则质保期须待投标人全部完成本招标文件中的各项要求后方可结束</w:t>
      </w:r>
      <w:r>
        <w:rPr>
          <w:color w:val="auto"/>
          <w:szCs w:val="21"/>
        </w:rPr>
        <w:t>。</w:t>
      </w:r>
    </w:p>
    <w:p w14:paraId="7B39B00A">
      <w:pPr>
        <w:pStyle w:val="5"/>
        <w:rPr>
          <w:color w:val="auto"/>
          <w:szCs w:val="21"/>
        </w:rPr>
      </w:pPr>
      <w:r>
        <w:rPr>
          <w:color w:val="auto"/>
          <w:szCs w:val="21"/>
        </w:rPr>
        <w:t>投标人对本项目的质量以及系统功能的实现从</w:t>
      </w:r>
      <w:r>
        <w:rPr>
          <w:rFonts w:hint="eastAsia"/>
          <w:color w:val="auto"/>
          <w:szCs w:val="21"/>
          <w:lang w:eastAsia="zh-CN"/>
        </w:rPr>
        <w:t>技术联络</w:t>
      </w:r>
      <w:r>
        <w:rPr>
          <w:color w:val="auto"/>
          <w:szCs w:val="21"/>
        </w:rPr>
        <w:t>到最终验收及投入使用期间负全面的责任，在此期间所</w:t>
      </w:r>
      <w:r>
        <w:rPr>
          <w:rFonts w:hint="eastAsia"/>
          <w:color w:val="auto"/>
          <w:szCs w:val="21"/>
          <w:lang w:eastAsia="zh-CN"/>
        </w:rPr>
        <w:t>规划</w:t>
      </w:r>
      <w:r>
        <w:rPr>
          <w:color w:val="auto"/>
          <w:szCs w:val="21"/>
        </w:rPr>
        <w:t>的系统/设备技术性能</w:t>
      </w:r>
      <w:r>
        <w:rPr>
          <w:rFonts w:hint="eastAsia"/>
          <w:color w:val="auto"/>
          <w:szCs w:val="21"/>
        </w:rPr>
        <w:t>、进度保证</w:t>
      </w:r>
      <w:r>
        <w:rPr>
          <w:color w:val="auto"/>
          <w:szCs w:val="21"/>
        </w:rPr>
        <w:t>和质量保证等方面出现问题时，投标人应无偿负责处理，并为因此而引起的工程中附加的经济损失和进度拖延负全部责任。</w:t>
      </w:r>
    </w:p>
    <w:p w14:paraId="78CBDE3B">
      <w:pPr>
        <w:pStyle w:val="5"/>
        <w:rPr>
          <w:color w:val="auto"/>
          <w:szCs w:val="21"/>
        </w:rPr>
      </w:pPr>
      <w:r>
        <w:rPr>
          <w:color w:val="auto"/>
          <w:szCs w:val="21"/>
        </w:rPr>
        <w:t>在质保期内，投标人继续对所有安装和提供的系统和设备负责，并保证系统所有功能、标准、接口等满足要求。</w:t>
      </w:r>
      <w:r>
        <w:rPr>
          <w:rFonts w:hint="eastAsia"/>
          <w:color w:val="auto"/>
          <w:szCs w:val="21"/>
        </w:rPr>
        <w:t>在整个质量保证期内因修复或更换制造和设计上的缺陷而发生的额外费用全部由投标人承担。</w:t>
      </w:r>
    </w:p>
    <w:p w14:paraId="103B2292">
      <w:pPr>
        <w:pStyle w:val="5"/>
        <w:rPr>
          <w:color w:val="auto"/>
          <w:szCs w:val="21"/>
        </w:rPr>
      </w:pPr>
      <w:r>
        <w:rPr>
          <w:color w:val="auto"/>
          <w:szCs w:val="21"/>
        </w:rPr>
        <w:t>质保期间，对连续出现三次以上或两次固定性故障的设备（含软件和固件），应视为不合格产品，投标人及时</w:t>
      </w:r>
      <w:r>
        <w:rPr>
          <w:rFonts w:hint="eastAsia"/>
          <w:color w:val="auto"/>
          <w:szCs w:val="21"/>
        </w:rPr>
        <w:t>免费</w:t>
      </w:r>
      <w:r>
        <w:rPr>
          <w:color w:val="auto"/>
          <w:szCs w:val="21"/>
        </w:rPr>
        <w:t>更换。</w:t>
      </w:r>
    </w:p>
    <w:p w14:paraId="7378F807">
      <w:pPr>
        <w:pStyle w:val="5"/>
        <w:rPr>
          <w:color w:val="auto"/>
          <w:szCs w:val="21"/>
        </w:rPr>
      </w:pPr>
      <w:r>
        <w:rPr>
          <w:color w:val="auto"/>
          <w:szCs w:val="21"/>
        </w:rPr>
        <w:t>在质保期内，招标人将不定期的抽测各种测试项目，检查系统的可靠性和稳定性。</w:t>
      </w:r>
    </w:p>
    <w:p w14:paraId="523DFF76">
      <w:pPr>
        <w:pStyle w:val="5"/>
        <w:rPr>
          <w:color w:val="auto"/>
          <w:szCs w:val="21"/>
        </w:rPr>
      </w:pPr>
      <w:r>
        <w:rPr>
          <w:color w:val="auto"/>
          <w:szCs w:val="21"/>
        </w:rPr>
        <w:t>在质保期内，投标人应协助招标人对系统的维护管理，并负责维修、更换零部件。</w:t>
      </w:r>
    </w:p>
    <w:p w14:paraId="48282F05">
      <w:pPr>
        <w:pStyle w:val="5"/>
        <w:rPr>
          <w:color w:val="auto"/>
          <w:szCs w:val="21"/>
        </w:rPr>
      </w:pPr>
      <w:r>
        <w:rPr>
          <w:color w:val="auto"/>
          <w:szCs w:val="21"/>
        </w:rPr>
        <w:t>在质保期结束前30天，投标人应向招标人提交一份质保期后服务建议书，供招标人确认。</w:t>
      </w:r>
    </w:p>
    <w:p w14:paraId="0AA5DFCB">
      <w:pPr>
        <w:pStyle w:val="5"/>
        <w:rPr>
          <w:color w:val="auto"/>
          <w:szCs w:val="21"/>
        </w:rPr>
      </w:pPr>
      <w:r>
        <w:rPr>
          <w:rFonts w:hint="eastAsia"/>
          <w:color w:val="auto"/>
          <w:szCs w:val="21"/>
        </w:rPr>
        <w:t>本项目的试运行期和质量保证期内，如果由于系统设计、工艺和材料的缺陷以及设备制造中存在的技术和质量问题引起故障，而使投标人提供的设备不能正常工作，以及存在招标人不能解决的关键问题，应由投标人联系相关供货商并由厂家负责保修，包括提供相应需更换设备或设备部件，并免费提供维修服务，务必解决设备存在的各种问题。在质保期后，投标人对其提供的合同设备应进行定期的跟踪回访，对设备进行细致全面的监视和检查</w:t>
      </w:r>
      <w:r>
        <w:rPr>
          <w:color w:val="auto"/>
          <w:szCs w:val="21"/>
        </w:rPr>
        <w:t>。</w:t>
      </w:r>
    </w:p>
    <w:p w14:paraId="0DD1094C">
      <w:pPr>
        <w:pStyle w:val="5"/>
        <w:rPr>
          <w:color w:val="auto"/>
          <w:szCs w:val="21"/>
        </w:rPr>
      </w:pPr>
      <w:r>
        <w:rPr>
          <w:color w:val="auto"/>
          <w:szCs w:val="21"/>
        </w:rPr>
        <w:t>投标人应保证其设备在正常使用条件（正确安装、合理操作和维护保养）下，在设备寿命期内运转良好和达到投标人在投标文件中所规定的使用年限，不得因不再生产为由而拒绝更换。</w:t>
      </w:r>
    </w:p>
    <w:p w14:paraId="527AA606">
      <w:pPr>
        <w:pStyle w:val="5"/>
        <w:rPr>
          <w:color w:val="auto"/>
          <w:szCs w:val="21"/>
        </w:rPr>
      </w:pPr>
      <w:r>
        <w:rPr>
          <w:color w:val="auto"/>
          <w:szCs w:val="21"/>
        </w:rPr>
        <w:t>投标人应通知招标人为改善投标人所供设备的系统性能和系统可靠性而做的任何改动。</w:t>
      </w:r>
    </w:p>
    <w:p w14:paraId="2CA19E09">
      <w:pPr>
        <w:pStyle w:val="5"/>
        <w:rPr>
          <w:color w:val="auto"/>
          <w:szCs w:val="21"/>
        </w:rPr>
      </w:pPr>
      <w:r>
        <w:rPr>
          <w:color w:val="auto"/>
          <w:szCs w:val="21"/>
        </w:rPr>
        <w:t>为保证在系统寿命期内备品备件的供应，投标人</w:t>
      </w:r>
      <w:r>
        <w:rPr>
          <w:rFonts w:hint="eastAsia"/>
          <w:color w:val="auto"/>
          <w:szCs w:val="21"/>
        </w:rPr>
        <w:t>须</w:t>
      </w:r>
      <w:r>
        <w:rPr>
          <w:color w:val="auto"/>
          <w:szCs w:val="21"/>
        </w:rPr>
        <w:t>承诺在系统寿命期内以不高于合同的价格协助招标人解决备品备件。投标人还应提供为完善系统所需的全部器件、部件、专用工具和设备的优惠价格。</w:t>
      </w:r>
    </w:p>
    <w:p w14:paraId="6294DEF6">
      <w:pPr>
        <w:pStyle w:val="5"/>
        <w:rPr>
          <w:color w:val="auto"/>
          <w:szCs w:val="21"/>
        </w:rPr>
      </w:pPr>
      <w:r>
        <w:rPr>
          <w:color w:val="auto"/>
          <w:szCs w:val="21"/>
        </w:rPr>
        <w:t>投标人在投标文件中应向招标人提出其他有关的质量保证和售后服务的承诺。</w:t>
      </w:r>
      <w:r>
        <w:rPr>
          <w:rFonts w:hint="eastAsia"/>
          <w:color w:val="auto"/>
          <w:szCs w:val="21"/>
        </w:rPr>
        <w:t>投标人在质量保证期内要服从最终用户的管理和服务召唤，接受用户考核管理，考核结果作为最终验收合格证书必要条件之一</w:t>
      </w:r>
      <w:r>
        <w:rPr>
          <w:color w:val="auto"/>
          <w:szCs w:val="21"/>
        </w:rPr>
        <w:t>。</w:t>
      </w:r>
    </w:p>
    <w:p w14:paraId="0BAB656F">
      <w:pPr>
        <w:pStyle w:val="4"/>
        <w:ind w:left="340"/>
        <w:rPr>
          <w:sz w:val="21"/>
          <w:szCs w:val="21"/>
        </w:rPr>
      </w:pPr>
      <w:bookmarkStart w:id="1985" w:name="_Toc214703988"/>
      <w:bookmarkStart w:id="1986" w:name="_Toc218147375"/>
      <w:bookmarkStart w:id="1987" w:name="_Toc128140050"/>
      <w:bookmarkStart w:id="1988" w:name="_Toc128120993"/>
      <w:bookmarkStart w:id="1989" w:name="_Toc215885584"/>
      <w:bookmarkStart w:id="1990" w:name="_Toc213477289"/>
      <w:bookmarkStart w:id="1991" w:name="_Toc231185203"/>
      <w:bookmarkStart w:id="1992" w:name="_Toc218145832"/>
      <w:bookmarkStart w:id="1993" w:name="_Toc218144699"/>
      <w:bookmarkStart w:id="1994" w:name="_Toc128139642"/>
      <w:bookmarkStart w:id="1995" w:name="_Toc215889497"/>
      <w:bookmarkStart w:id="1996" w:name="_Toc290373462"/>
      <w:bookmarkStart w:id="1997" w:name="_Toc212869987"/>
      <w:bookmarkStart w:id="1998" w:name="_Toc212875141"/>
      <w:bookmarkStart w:id="1999" w:name="_Toc212872629"/>
      <w:bookmarkStart w:id="2000" w:name="_Toc128141220"/>
      <w:bookmarkStart w:id="2001" w:name="_Toc128137452"/>
      <w:bookmarkStart w:id="2002" w:name="_Toc128138746"/>
      <w:bookmarkStart w:id="2003" w:name="_Toc213477535"/>
      <w:bookmarkStart w:id="2004" w:name="_Toc128141519"/>
      <w:bookmarkStart w:id="2005" w:name="_Toc212873949"/>
      <w:bookmarkStart w:id="2006" w:name="_Toc218143907"/>
      <w:bookmarkStart w:id="2007" w:name="_Toc259981571"/>
      <w:bookmarkStart w:id="2008" w:name="_Toc217105801"/>
      <w:bookmarkStart w:id="2009" w:name="_Toc128139148"/>
      <w:bookmarkStart w:id="2010" w:name="_Toc214704237"/>
      <w:bookmarkStart w:id="2011" w:name="_Toc214704486"/>
      <w:bookmarkStart w:id="2012" w:name="_Toc218144197"/>
      <w:bookmarkStart w:id="2013" w:name="_Toc16127"/>
      <w:bookmarkStart w:id="2014" w:name="_Toc234326842"/>
      <w:bookmarkStart w:id="2015" w:name="_Toc218144950"/>
      <w:bookmarkStart w:id="2016" w:name="_Toc131867927"/>
      <w:bookmarkStart w:id="2017" w:name="_Toc528631187"/>
      <w:bookmarkStart w:id="2018" w:name="_Toc218145250"/>
      <w:bookmarkStart w:id="2019" w:name="_Toc213407884"/>
      <w:bookmarkStart w:id="2020" w:name="_Toc128139361"/>
      <w:bookmarkStart w:id="2021" w:name="_Toc128140617"/>
      <w:bookmarkStart w:id="2022" w:name="_Toc128223323"/>
      <w:bookmarkStart w:id="2023" w:name="_Toc128122963"/>
      <w:bookmarkStart w:id="2024" w:name="_Toc218141246"/>
      <w:bookmarkStart w:id="2025" w:name="_Toc130291598"/>
      <w:bookmarkStart w:id="2026" w:name="_Toc128141042"/>
      <w:bookmarkStart w:id="2027" w:name="_Toc218141714"/>
      <w:bookmarkStart w:id="2028" w:name="_Toc128137868"/>
      <w:bookmarkStart w:id="2029" w:name="_Toc234326306"/>
      <w:bookmarkStart w:id="2030" w:name="_Toc218143476"/>
      <w:bookmarkStart w:id="2031" w:name="_Toc234326574"/>
      <w:bookmarkStart w:id="2032" w:name="_Toc128138130"/>
      <w:bookmarkStart w:id="2033" w:name="_Toc218141965"/>
      <w:bookmarkStart w:id="2034" w:name="_Toc218142216"/>
      <w:bookmarkStart w:id="2035" w:name="_Toc1323"/>
      <w:bookmarkStart w:id="2036" w:name="_Toc218147626"/>
      <w:bookmarkStart w:id="2037" w:name="_Toc237702944"/>
      <w:bookmarkStart w:id="2038" w:name="_Toc234326038"/>
      <w:bookmarkStart w:id="2039" w:name="_Toc218144448"/>
      <w:r>
        <w:rPr>
          <w:sz w:val="21"/>
          <w:szCs w:val="21"/>
        </w:rPr>
        <w:t>最终验收</w:t>
      </w:r>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p>
    <w:p w14:paraId="25662DF3">
      <w:pPr>
        <w:pStyle w:val="5"/>
        <w:ind w:left="340"/>
        <w:rPr>
          <w:color w:val="auto"/>
          <w:szCs w:val="21"/>
        </w:rPr>
      </w:pPr>
      <w:r>
        <w:rPr>
          <w:color w:val="auto"/>
          <w:szCs w:val="21"/>
        </w:rPr>
        <w:t>在质保期已满的45天内，投标人、招标人签署最终验收证书。合同的双方将正式办理验交手续，但投标人</w:t>
      </w:r>
      <w:r>
        <w:rPr>
          <w:rFonts w:hint="eastAsia"/>
          <w:color w:val="auto"/>
          <w:szCs w:val="21"/>
        </w:rPr>
        <w:t>在本项目</w:t>
      </w:r>
      <w:r>
        <w:rPr>
          <w:color w:val="auto"/>
          <w:szCs w:val="21"/>
        </w:rPr>
        <w:t>系统寿命期内仍有责任对</w:t>
      </w:r>
      <w:r>
        <w:rPr>
          <w:rFonts w:hint="eastAsia"/>
          <w:color w:val="auto"/>
          <w:szCs w:val="21"/>
        </w:rPr>
        <w:t>本项目</w:t>
      </w:r>
      <w:r>
        <w:rPr>
          <w:color w:val="auto"/>
          <w:szCs w:val="21"/>
        </w:rPr>
        <w:t>系统发生的问题给予合作。</w:t>
      </w:r>
    </w:p>
    <w:p w14:paraId="33199AF2">
      <w:pPr>
        <w:widowControl/>
        <w:tabs>
          <w:tab w:val="left" w:pos="1486"/>
        </w:tabs>
        <w:adjustRightInd w:val="0"/>
        <w:snapToGrid w:val="0"/>
        <w:ind w:left="958" w:firstLine="0"/>
        <w:rPr>
          <w:sz w:val="21"/>
          <w:szCs w:val="21"/>
        </w:rPr>
      </w:pPr>
    </w:p>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p w14:paraId="1BFFFF66">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040" w:name="_Toc128141222"/>
      <w:bookmarkStart w:id="2041" w:name="_Toc131867929"/>
      <w:bookmarkStart w:id="2042" w:name="_Toc212875143"/>
      <w:bookmarkStart w:id="2043" w:name="_Toc130291600"/>
      <w:bookmarkStart w:id="2044" w:name="_Toc128139644"/>
      <w:bookmarkStart w:id="2045" w:name="_Toc218141716"/>
      <w:bookmarkStart w:id="2046" w:name="_Toc234325809"/>
      <w:bookmarkStart w:id="2047" w:name="_Toc218145252"/>
      <w:bookmarkStart w:id="2048" w:name="_Toc128141044"/>
      <w:bookmarkStart w:id="2049" w:name="_Toc218144701"/>
      <w:bookmarkStart w:id="2050" w:name="_Toc212873951"/>
      <w:bookmarkStart w:id="2051" w:name="_Toc234326040"/>
      <w:bookmarkStart w:id="2052" w:name="_Toc234326308"/>
      <w:bookmarkStart w:id="2053" w:name="_Toc222816886"/>
      <w:bookmarkStart w:id="2054" w:name="_Toc214704488"/>
      <w:bookmarkStart w:id="2055" w:name="_Toc231185205"/>
      <w:bookmarkStart w:id="2056" w:name="_Toc213406573"/>
      <w:bookmarkStart w:id="2057" w:name="_Toc128140619"/>
      <w:bookmarkStart w:id="2058" w:name="_Toc234326576"/>
      <w:bookmarkStart w:id="2059" w:name="_Toc237702946"/>
      <w:bookmarkStart w:id="2060" w:name="_Toc218143909"/>
      <w:bookmarkStart w:id="2061" w:name="_Toc218144450"/>
      <w:bookmarkStart w:id="2062" w:name="_Toc234326844"/>
      <w:bookmarkStart w:id="2063" w:name="_Toc214704239"/>
      <w:bookmarkStart w:id="2064" w:name="_Toc128139150"/>
      <w:bookmarkStart w:id="2065" w:name="_Toc128141521"/>
      <w:bookmarkStart w:id="2066" w:name="_Toc218144199"/>
      <w:bookmarkStart w:id="2067" w:name="_Toc128223325"/>
      <w:bookmarkStart w:id="2068" w:name="_Toc259981573"/>
      <w:bookmarkStart w:id="2069" w:name="_Toc214703990"/>
      <w:bookmarkStart w:id="2070" w:name="_Toc218142218"/>
      <w:bookmarkStart w:id="2071" w:name="_Toc213477537"/>
      <w:bookmarkStart w:id="2072" w:name="_Toc290373464"/>
      <w:bookmarkStart w:id="2073" w:name="_Toc128139363"/>
      <w:bookmarkStart w:id="2074" w:name="_Toc218145834"/>
      <w:bookmarkStart w:id="2075" w:name="_Toc215889499"/>
      <w:bookmarkStart w:id="2076" w:name="_Toc218147628"/>
      <w:bookmarkStart w:id="2077" w:name="_Toc29523"/>
      <w:bookmarkStart w:id="2078" w:name="_Toc212869989"/>
      <w:bookmarkStart w:id="2079" w:name="_Toc213477291"/>
      <w:bookmarkStart w:id="2080" w:name="_Toc212872631"/>
      <w:bookmarkStart w:id="2081" w:name="_Toc130876960"/>
      <w:bookmarkStart w:id="2082" w:name="_Toc128138749"/>
      <w:bookmarkStart w:id="2083" w:name="_Toc218141967"/>
      <w:bookmarkStart w:id="2084" w:name="_Toc213407886"/>
      <w:bookmarkStart w:id="2085" w:name="_Toc217105803"/>
      <w:bookmarkStart w:id="2086" w:name="_Toc18857"/>
      <w:bookmarkStart w:id="2087" w:name="_Toc218147377"/>
      <w:bookmarkStart w:id="2088" w:name="_Toc218144952"/>
      <w:bookmarkStart w:id="2089" w:name="_Toc218143478"/>
      <w:bookmarkStart w:id="2090" w:name="_Toc215885586"/>
      <w:bookmarkStart w:id="2091" w:name="_Toc128140052"/>
      <w:bookmarkStart w:id="2092" w:name="_Toc218141248"/>
      <w:bookmarkStart w:id="2093" w:name="_Toc128137872"/>
      <w:bookmarkStart w:id="2094" w:name="_Toc131867941"/>
      <w:bookmarkStart w:id="2095" w:name="_Toc212873963"/>
      <w:bookmarkStart w:id="2096" w:name="_Toc128137456"/>
      <w:bookmarkStart w:id="2097" w:name="_Toc128223337"/>
      <w:bookmarkStart w:id="2098" w:name="_Toc212875155"/>
      <w:bookmarkStart w:id="2099" w:name="_Toc128139375"/>
      <w:bookmarkStart w:id="2100" w:name="_Toc128138380"/>
      <w:bookmarkStart w:id="2101" w:name="_Toc213477549"/>
      <w:bookmarkStart w:id="2102" w:name="_Toc213406574"/>
      <w:bookmarkStart w:id="2103" w:name="_Toc130291612"/>
      <w:bookmarkStart w:id="2104" w:name="_Toc128141056"/>
      <w:bookmarkStart w:id="2105" w:name="_Toc128140631"/>
      <w:bookmarkStart w:id="2106" w:name="_Toc128140064"/>
      <w:bookmarkStart w:id="2107" w:name="_Toc128141234"/>
      <w:bookmarkStart w:id="2108" w:name="_Toc213477303"/>
      <w:bookmarkStart w:id="2109" w:name="_Toc128141533"/>
      <w:bookmarkStart w:id="2110" w:name="_Toc128138134"/>
      <w:bookmarkStart w:id="2111" w:name="_Toc212870001"/>
      <w:bookmarkStart w:id="2112" w:name="_Toc212872643"/>
      <w:bookmarkStart w:id="2113" w:name="_Toc213407898"/>
      <w:bookmarkStart w:id="2114" w:name="_Toc128120997"/>
      <w:bookmarkStart w:id="2115" w:name="_Toc128122967"/>
      <w:bookmarkStart w:id="2116" w:name="_Toc128139656"/>
      <w:bookmarkStart w:id="2117" w:name="_Toc128138751"/>
      <w:bookmarkStart w:id="2118" w:name="_Toc128139162"/>
      <w:r>
        <w:rPr>
          <w:rFonts w:ascii="Times New Roman" w:hAnsi="Times New Roman" w:eastAsia="宋体"/>
          <w:b/>
          <w:bCs/>
          <w:sz w:val="21"/>
          <w:szCs w:val="21"/>
        </w:rPr>
        <w:t>图纸、手册</w:t>
      </w:r>
      <w:r>
        <w:rPr>
          <w:rFonts w:hint="eastAsia" w:ascii="Times New Roman" w:hAnsi="Times New Roman" w:eastAsia="宋体"/>
          <w:b/>
          <w:bCs/>
          <w:sz w:val="21"/>
          <w:szCs w:val="21"/>
        </w:rPr>
        <w:t>、软件</w:t>
      </w:r>
      <w:r>
        <w:rPr>
          <w:rFonts w:ascii="Times New Roman" w:hAnsi="Times New Roman" w:eastAsia="宋体"/>
          <w:b/>
          <w:bCs/>
          <w:sz w:val="21"/>
          <w:szCs w:val="21"/>
        </w:rPr>
        <w:t>和技术文件</w:t>
      </w:r>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p>
    <w:p w14:paraId="7E258315">
      <w:pPr>
        <w:pStyle w:val="4"/>
        <w:rPr>
          <w:sz w:val="21"/>
          <w:szCs w:val="21"/>
        </w:rPr>
      </w:pPr>
      <w:bookmarkStart w:id="2119" w:name="_Toc218144200"/>
      <w:bookmarkStart w:id="2120" w:name="_Toc32546"/>
      <w:bookmarkStart w:id="2121" w:name="_Toc212873952"/>
      <w:bookmarkStart w:id="2122" w:name="_Toc290373465"/>
      <w:bookmarkStart w:id="2123" w:name="_Toc218147378"/>
      <w:bookmarkStart w:id="2124" w:name="_Toc128141223"/>
      <w:bookmarkStart w:id="2125" w:name="_Toc128223326"/>
      <w:bookmarkStart w:id="2126" w:name="_Toc218144451"/>
      <w:bookmarkStart w:id="2127" w:name="_Toc214704240"/>
      <w:bookmarkStart w:id="2128" w:name="_Toc214703991"/>
      <w:bookmarkStart w:id="2129" w:name="_Toc131867930"/>
      <w:bookmarkStart w:id="2130" w:name="_Toc213407887"/>
      <w:bookmarkStart w:id="2131" w:name="_Toc128137455"/>
      <w:bookmarkStart w:id="2132" w:name="_Toc128141522"/>
      <w:bookmarkStart w:id="2133" w:name="_Toc128138750"/>
      <w:bookmarkStart w:id="2134" w:name="_Toc128120996"/>
      <w:bookmarkStart w:id="2135" w:name="_Toc128122966"/>
      <w:bookmarkStart w:id="2136" w:name="_Toc218141968"/>
      <w:bookmarkStart w:id="2137" w:name="_Toc214704489"/>
      <w:bookmarkStart w:id="2138" w:name="_Toc217105804"/>
      <w:bookmarkStart w:id="2139" w:name="_Toc215885587"/>
      <w:bookmarkStart w:id="2140" w:name="_Toc218141717"/>
      <w:bookmarkStart w:id="2141" w:name="_Toc234326577"/>
      <w:bookmarkStart w:id="2142" w:name="_Toc231185206"/>
      <w:bookmarkStart w:id="2143" w:name="_Toc237702947"/>
      <w:bookmarkStart w:id="2144" w:name="_Toc212872632"/>
      <w:bookmarkStart w:id="2145" w:name="_Toc130291601"/>
      <w:bookmarkStart w:id="2146" w:name="_Toc128138133"/>
      <w:bookmarkStart w:id="2147" w:name="_Toc218144702"/>
      <w:bookmarkStart w:id="2148" w:name="_Toc218143479"/>
      <w:bookmarkStart w:id="2149" w:name="_Toc218145253"/>
      <w:bookmarkStart w:id="2150" w:name="_Toc213477292"/>
      <w:bookmarkStart w:id="2151" w:name="_Toc234326309"/>
      <w:bookmarkStart w:id="2152" w:name="_Toc128140053"/>
      <w:bookmarkStart w:id="2153" w:name="_Toc128139364"/>
      <w:bookmarkStart w:id="2154" w:name="_Toc128140620"/>
      <w:bookmarkStart w:id="2155" w:name="_Toc128138379"/>
      <w:bookmarkStart w:id="2156" w:name="_Toc215889500"/>
      <w:bookmarkStart w:id="2157" w:name="_Toc212869990"/>
      <w:bookmarkStart w:id="2158" w:name="_Toc218147629"/>
      <w:bookmarkStart w:id="2159" w:name="_Toc234326041"/>
      <w:bookmarkStart w:id="2160" w:name="_Toc218141249"/>
      <w:bookmarkStart w:id="2161" w:name="_Toc218143910"/>
      <w:bookmarkStart w:id="2162" w:name="_Toc128139645"/>
      <w:bookmarkStart w:id="2163" w:name="_Toc21209"/>
      <w:bookmarkStart w:id="2164" w:name="_Toc218145835"/>
      <w:bookmarkStart w:id="2165" w:name="_Toc212875144"/>
      <w:bookmarkStart w:id="2166" w:name="_Toc213477538"/>
      <w:bookmarkStart w:id="2167" w:name="_Toc218144953"/>
      <w:bookmarkStart w:id="2168" w:name="_Toc128141045"/>
      <w:bookmarkStart w:id="2169" w:name="_Toc218142219"/>
      <w:bookmarkStart w:id="2170" w:name="_Toc234326845"/>
      <w:bookmarkStart w:id="2171" w:name="_Toc128137871"/>
      <w:bookmarkStart w:id="2172" w:name="_Toc259981574"/>
      <w:r>
        <w:rPr>
          <w:sz w:val="21"/>
          <w:szCs w:val="21"/>
        </w:rPr>
        <w:t>一般要求</w:t>
      </w:r>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p>
    <w:p w14:paraId="0D48DEE5">
      <w:pPr>
        <w:pStyle w:val="5"/>
        <w:rPr>
          <w:color w:val="auto"/>
          <w:szCs w:val="21"/>
        </w:rPr>
      </w:pPr>
      <w:r>
        <w:rPr>
          <w:color w:val="auto"/>
          <w:szCs w:val="21"/>
        </w:rPr>
        <w:t>投标人应向招标人提供全套的技术文件</w:t>
      </w:r>
      <w:r>
        <w:rPr>
          <w:rFonts w:hint="eastAsia"/>
          <w:color w:val="auto"/>
          <w:szCs w:val="21"/>
        </w:rPr>
        <w:t>（数量按招标人的要求提供）</w:t>
      </w:r>
      <w:r>
        <w:rPr>
          <w:color w:val="auto"/>
          <w:szCs w:val="21"/>
        </w:rPr>
        <w:t>，包括但不限于以下内容：</w:t>
      </w:r>
    </w:p>
    <w:p w14:paraId="6DCA6690">
      <w:pPr>
        <w:pStyle w:val="1221"/>
        <w:jc w:val="both"/>
        <w:rPr>
          <w:szCs w:val="21"/>
        </w:rPr>
      </w:pPr>
      <w:r>
        <w:rPr>
          <w:szCs w:val="21"/>
        </w:rPr>
        <w:t>系统文件</w:t>
      </w:r>
      <w:r>
        <w:rPr>
          <w:rFonts w:hint="eastAsia"/>
          <w:szCs w:val="21"/>
        </w:rPr>
        <w:t>；</w:t>
      </w:r>
    </w:p>
    <w:p w14:paraId="70D919FF">
      <w:pPr>
        <w:pStyle w:val="1221"/>
        <w:jc w:val="both"/>
        <w:rPr>
          <w:szCs w:val="21"/>
        </w:rPr>
      </w:pPr>
      <w:r>
        <w:rPr>
          <w:szCs w:val="21"/>
        </w:rPr>
        <w:t>技术建议书</w:t>
      </w:r>
      <w:r>
        <w:rPr>
          <w:rFonts w:hint="eastAsia"/>
          <w:szCs w:val="21"/>
        </w:rPr>
        <w:t>；</w:t>
      </w:r>
    </w:p>
    <w:p w14:paraId="2B674BF2">
      <w:pPr>
        <w:pStyle w:val="1221"/>
        <w:jc w:val="both"/>
        <w:rPr>
          <w:szCs w:val="21"/>
        </w:rPr>
      </w:pPr>
      <w:r>
        <w:rPr>
          <w:szCs w:val="21"/>
        </w:rPr>
        <w:t>硬件设备技术文件</w:t>
      </w:r>
      <w:r>
        <w:rPr>
          <w:rFonts w:hint="eastAsia"/>
          <w:szCs w:val="21"/>
        </w:rPr>
        <w:t>（含部件功能描述、配线图、模块电路图等）；</w:t>
      </w:r>
    </w:p>
    <w:p w14:paraId="1E70D9BD">
      <w:pPr>
        <w:pStyle w:val="1221"/>
        <w:jc w:val="both"/>
        <w:rPr>
          <w:szCs w:val="21"/>
        </w:rPr>
      </w:pPr>
      <w:r>
        <w:rPr>
          <w:szCs w:val="21"/>
        </w:rPr>
        <w:t>软件系统技术文件</w:t>
      </w:r>
      <w:r>
        <w:rPr>
          <w:rFonts w:hint="eastAsia"/>
          <w:szCs w:val="21"/>
        </w:rPr>
        <w:t>（含功能描述、软件流程图、系统软件、支持软件、程序语言说明、人机对话系统软件、程序手册、软件测试、统计文件的格式、硬件诊断测试程序、接口软件资料、其他等）；</w:t>
      </w:r>
    </w:p>
    <w:p w14:paraId="5F75910D">
      <w:pPr>
        <w:widowControl/>
        <w:numPr>
          <w:ilvl w:val="0"/>
          <w:numId w:val="38"/>
        </w:numPr>
        <w:tabs>
          <w:tab w:val="left" w:pos="1486"/>
        </w:tabs>
        <w:adjustRightInd w:val="0"/>
        <w:snapToGrid w:val="0"/>
        <w:ind w:left="1378"/>
        <w:rPr>
          <w:sz w:val="21"/>
          <w:szCs w:val="21"/>
        </w:rPr>
      </w:pPr>
      <w:r>
        <w:rPr>
          <w:rFonts w:hint="eastAsia"/>
          <w:sz w:val="21"/>
          <w:szCs w:val="21"/>
        </w:rPr>
        <w:t>所有安装在系统中的软件均属招标人所有。招标人永久享有投标人为本合同项目提供软件的使用权，并无需交纳任何形式的使用费（如有此类费用的话）；维修更换设备时，招标人无需对其中包含的软件或者需要安装的软件再次付费。投标人应对这些软件进行全寿命周期维护、升级；</w:t>
      </w:r>
    </w:p>
    <w:p w14:paraId="50C1012C">
      <w:pPr>
        <w:widowControl/>
        <w:numPr>
          <w:ilvl w:val="0"/>
          <w:numId w:val="38"/>
        </w:numPr>
        <w:tabs>
          <w:tab w:val="left" w:pos="1486"/>
        </w:tabs>
        <w:adjustRightInd w:val="0"/>
        <w:snapToGrid w:val="0"/>
        <w:ind w:left="1378"/>
        <w:rPr>
          <w:sz w:val="21"/>
          <w:szCs w:val="21"/>
        </w:rPr>
      </w:pPr>
      <w:r>
        <w:rPr>
          <w:rFonts w:hint="eastAsia"/>
          <w:sz w:val="21"/>
          <w:szCs w:val="21"/>
        </w:rPr>
        <w:t>投标人应确定在软件安装时均用招标人名称注册或登记。在交付过程中，投标人须交付系统中所有软件（包括固件、共享及免费软件）的商业使用证书或许可证。</w:t>
      </w:r>
    </w:p>
    <w:p w14:paraId="4C0C9E72">
      <w:pPr>
        <w:widowControl/>
        <w:numPr>
          <w:ilvl w:val="0"/>
          <w:numId w:val="38"/>
        </w:numPr>
        <w:tabs>
          <w:tab w:val="left" w:pos="1486"/>
        </w:tabs>
        <w:adjustRightInd w:val="0"/>
        <w:snapToGrid w:val="0"/>
        <w:ind w:left="1378"/>
        <w:rPr>
          <w:sz w:val="21"/>
          <w:szCs w:val="21"/>
        </w:rPr>
      </w:pPr>
      <w:r>
        <w:rPr>
          <w:rFonts w:hint="eastAsia"/>
          <w:sz w:val="21"/>
          <w:szCs w:val="21"/>
        </w:rPr>
        <w:t>软件系统技术文件（含功能描述、软件流程图、系统软件、支持软件、程序语言说明、人机对话系统软件、程序手册、软件测试、统计文件的格式、硬件诊断测试程序、接口软件资料等）</w:t>
      </w:r>
    </w:p>
    <w:p w14:paraId="479D0EAC">
      <w:pPr>
        <w:pStyle w:val="1221"/>
        <w:jc w:val="both"/>
        <w:rPr>
          <w:szCs w:val="21"/>
        </w:rPr>
      </w:pPr>
      <w:r>
        <w:rPr>
          <w:szCs w:val="21"/>
        </w:rPr>
        <w:t>产品设计的图纸、资料；</w:t>
      </w:r>
    </w:p>
    <w:p w14:paraId="1E7E5414">
      <w:pPr>
        <w:pStyle w:val="1221"/>
        <w:jc w:val="both"/>
        <w:rPr>
          <w:szCs w:val="21"/>
        </w:rPr>
      </w:pPr>
      <w:r>
        <w:rPr>
          <w:szCs w:val="21"/>
        </w:rPr>
        <w:t>各阶段各项测试检验规范书和测试检验报告；</w:t>
      </w:r>
    </w:p>
    <w:p w14:paraId="6B207A09">
      <w:pPr>
        <w:pStyle w:val="1221"/>
        <w:jc w:val="both"/>
        <w:rPr>
          <w:szCs w:val="21"/>
        </w:rPr>
      </w:pPr>
      <w:r>
        <w:rPr>
          <w:szCs w:val="21"/>
        </w:rPr>
        <w:t>工程图、资料（在合同签订后1个月内或</w:t>
      </w:r>
      <w:r>
        <w:rPr>
          <w:rFonts w:hint="eastAsia"/>
          <w:szCs w:val="21"/>
          <w:lang w:eastAsia="zh-CN"/>
        </w:rPr>
        <w:t>技术</w:t>
      </w:r>
      <w:r>
        <w:rPr>
          <w:szCs w:val="21"/>
        </w:rPr>
        <w:t>联络时提供）</w:t>
      </w:r>
      <w:r>
        <w:rPr>
          <w:rFonts w:hint="eastAsia"/>
          <w:szCs w:val="21"/>
        </w:rPr>
        <w:t>；</w:t>
      </w:r>
    </w:p>
    <w:p w14:paraId="76974BB9">
      <w:pPr>
        <w:pStyle w:val="1221"/>
        <w:jc w:val="both"/>
        <w:rPr>
          <w:szCs w:val="21"/>
        </w:rPr>
      </w:pPr>
      <w:r>
        <w:rPr>
          <w:szCs w:val="21"/>
        </w:rPr>
        <w:t>安装手册</w:t>
      </w:r>
      <w:r>
        <w:rPr>
          <w:rFonts w:hint="eastAsia"/>
          <w:szCs w:val="21"/>
        </w:rPr>
        <w:t>；</w:t>
      </w:r>
    </w:p>
    <w:p w14:paraId="1E81B8DC">
      <w:pPr>
        <w:pStyle w:val="1221"/>
        <w:jc w:val="both"/>
        <w:rPr>
          <w:szCs w:val="21"/>
        </w:rPr>
      </w:pPr>
      <w:r>
        <w:rPr>
          <w:szCs w:val="21"/>
        </w:rPr>
        <w:t>操作手册</w:t>
      </w:r>
      <w:r>
        <w:rPr>
          <w:rFonts w:hint="eastAsia"/>
          <w:szCs w:val="21"/>
        </w:rPr>
        <w:t>；</w:t>
      </w:r>
    </w:p>
    <w:p w14:paraId="0F0468F2">
      <w:pPr>
        <w:pStyle w:val="1221"/>
        <w:jc w:val="both"/>
        <w:rPr>
          <w:szCs w:val="21"/>
        </w:rPr>
      </w:pPr>
      <w:r>
        <w:rPr>
          <w:rFonts w:hint="eastAsia"/>
          <w:szCs w:val="21"/>
        </w:rPr>
        <w:t>维修与保养手册；</w:t>
      </w:r>
    </w:p>
    <w:p w14:paraId="1DD473C4">
      <w:pPr>
        <w:pStyle w:val="1221"/>
        <w:jc w:val="both"/>
        <w:rPr>
          <w:szCs w:val="21"/>
        </w:rPr>
      </w:pPr>
      <w:r>
        <w:rPr>
          <w:szCs w:val="21"/>
        </w:rPr>
        <w:t>用于维护的图纸、资料、手册</w:t>
      </w:r>
      <w:r>
        <w:rPr>
          <w:rFonts w:hint="eastAsia"/>
          <w:szCs w:val="21"/>
        </w:rPr>
        <w:t>；</w:t>
      </w:r>
    </w:p>
    <w:p w14:paraId="6EEEE54C">
      <w:pPr>
        <w:pStyle w:val="1221"/>
        <w:jc w:val="both"/>
        <w:rPr>
          <w:szCs w:val="21"/>
        </w:rPr>
      </w:pPr>
      <w:r>
        <w:rPr>
          <w:szCs w:val="21"/>
        </w:rPr>
        <w:t>用于培训的图纸、资料、手册</w:t>
      </w:r>
      <w:r>
        <w:rPr>
          <w:rFonts w:hint="eastAsia"/>
          <w:szCs w:val="21"/>
        </w:rPr>
        <w:t>；</w:t>
      </w:r>
    </w:p>
    <w:p w14:paraId="6E3AFE94">
      <w:pPr>
        <w:pStyle w:val="1221"/>
        <w:jc w:val="both"/>
        <w:rPr>
          <w:szCs w:val="21"/>
        </w:rPr>
      </w:pPr>
      <w:r>
        <w:rPr>
          <w:szCs w:val="21"/>
        </w:rPr>
        <w:t>最终的技术文件</w:t>
      </w:r>
      <w:r>
        <w:rPr>
          <w:rFonts w:hint="eastAsia"/>
          <w:szCs w:val="21"/>
        </w:rPr>
        <w:t>；</w:t>
      </w:r>
    </w:p>
    <w:p w14:paraId="7366D07A">
      <w:pPr>
        <w:pStyle w:val="5"/>
        <w:rPr>
          <w:color w:val="auto"/>
          <w:szCs w:val="21"/>
        </w:rPr>
      </w:pPr>
      <w:r>
        <w:rPr>
          <w:color w:val="auto"/>
          <w:szCs w:val="21"/>
        </w:rPr>
        <w:t>所提供的技术文件，其内容必须与所提供的设备相一致，在双方商定的某一时期内由于软硬件的修改而导致文件的任何修改，投标人均应提供修改更正或补充的印刷文件</w:t>
      </w:r>
      <w:r>
        <w:rPr>
          <w:rFonts w:hint="eastAsia"/>
          <w:color w:val="auto"/>
          <w:szCs w:val="21"/>
          <w:lang w:val="en-US"/>
        </w:rPr>
        <w:t>5</w:t>
      </w:r>
      <w:r>
        <w:rPr>
          <w:color w:val="auto"/>
          <w:szCs w:val="21"/>
        </w:rPr>
        <w:t>份及光盘、U盘各</w:t>
      </w:r>
      <w:r>
        <w:rPr>
          <w:rFonts w:hint="eastAsia"/>
          <w:color w:val="auto"/>
          <w:szCs w:val="21"/>
        </w:rPr>
        <w:t>3</w:t>
      </w:r>
      <w:r>
        <w:rPr>
          <w:color w:val="auto"/>
          <w:szCs w:val="21"/>
        </w:rPr>
        <w:t>套，其内容应包括：</w:t>
      </w:r>
    </w:p>
    <w:p w14:paraId="7A8E3B9A">
      <w:pPr>
        <w:widowControl/>
        <w:numPr>
          <w:ilvl w:val="0"/>
          <w:numId w:val="38"/>
        </w:numPr>
        <w:tabs>
          <w:tab w:val="left" w:pos="1486"/>
        </w:tabs>
        <w:adjustRightInd w:val="0"/>
        <w:snapToGrid w:val="0"/>
        <w:ind w:left="1378"/>
        <w:rPr>
          <w:sz w:val="21"/>
          <w:szCs w:val="21"/>
        </w:rPr>
      </w:pPr>
      <w:r>
        <w:rPr>
          <w:sz w:val="21"/>
          <w:szCs w:val="21"/>
        </w:rPr>
        <w:t>修改内容</w:t>
      </w:r>
      <w:r>
        <w:rPr>
          <w:rFonts w:hint="eastAsia"/>
          <w:sz w:val="21"/>
          <w:szCs w:val="21"/>
        </w:rPr>
        <w:t>；</w:t>
      </w:r>
    </w:p>
    <w:p w14:paraId="223B261C">
      <w:pPr>
        <w:widowControl/>
        <w:numPr>
          <w:ilvl w:val="0"/>
          <w:numId w:val="38"/>
        </w:numPr>
        <w:tabs>
          <w:tab w:val="left" w:pos="1486"/>
        </w:tabs>
        <w:adjustRightInd w:val="0"/>
        <w:snapToGrid w:val="0"/>
        <w:ind w:left="1378"/>
        <w:rPr>
          <w:sz w:val="21"/>
          <w:szCs w:val="21"/>
        </w:rPr>
      </w:pPr>
      <w:r>
        <w:rPr>
          <w:sz w:val="21"/>
          <w:szCs w:val="21"/>
        </w:rPr>
        <w:t>修改理由</w:t>
      </w:r>
      <w:r>
        <w:rPr>
          <w:rFonts w:hint="eastAsia"/>
          <w:sz w:val="21"/>
          <w:szCs w:val="21"/>
        </w:rPr>
        <w:t>；</w:t>
      </w:r>
    </w:p>
    <w:p w14:paraId="36E25E6F">
      <w:pPr>
        <w:widowControl/>
        <w:numPr>
          <w:ilvl w:val="0"/>
          <w:numId w:val="38"/>
        </w:numPr>
        <w:tabs>
          <w:tab w:val="left" w:pos="1486"/>
        </w:tabs>
        <w:adjustRightInd w:val="0"/>
        <w:snapToGrid w:val="0"/>
        <w:ind w:left="1378"/>
        <w:rPr>
          <w:sz w:val="21"/>
          <w:szCs w:val="21"/>
        </w:rPr>
      </w:pPr>
      <w:r>
        <w:rPr>
          <w:sz w:val="21"/>
          <w:szCs w:val="21"/>
        </w:rPr>
        <w:t>设备可受到的影响</w:t>
      </w:r>
      <w:r>
        <w:rPr>
          <w:rFonts w:hint="eastAsia"/>
          <w:sz w:val="21"/>
          <w:szCs w:val="21"/>
        </w:rPr>
        <w:t>。</w:t>
      </w:r>
    </w:p>
    <w:p w14:paraId="310B667B">
      <w:pPr>
        <w:ind w:left="648" w:leftChars="270" w:firstLine="420" w:firstLineChars="200"/>
        <w:rPr>
          <w:rFonts w:ascii="宋体" w:hAnsi="宋体"/>
          <w:sz w:val="21"/>
          <w:szCs w:val="21"/>
        </w:rPr>
      </w:pPr>
      <w:r>
        <w:rPr>
          <w:rFonts w:ascii="宋体" w:hAnsi="宋体"/>
          <w:sz w:val="21"/>
          <w:szCs w:val="21"/>
        </w:rPr>
        <w:t>软件每作一次修改，都应将该程序</w:t>
      </w:r>
      <w:r>
        <w:rPr>
          <w:rFonts w:hint="eastAsia" w:ascii="宋体" w:hAnsi="宋体"/>
          <w:sz w:val="21"/>
          <w:szCs w:val="21"/>
        </w:rPr>
        <w:t>旧</w:t>
      </w:r>
      <w:r>
        <w:rPr>
          <w:rFonts w:ascii="宋体" w:hAnsi="宋体"/>
          <w:sz w:val="21"/>
          <w:szCs w:val="21"/>
        </w:rPr>
        <w:t>版本及新版本的软件文件的清单、流程图及说明交于招标人，并说明原因。</w:t>
      </w:r>
    </w:p>
    <w:p w14:paraId="1D682801">
      <w:pPr>
        <w:pStyle w:val="5"/>
        <w:rPr>
          <w:color w:val="auto"/>
          <w:szCs w:val="21"/>
        </w:rPr>
      </w:pPr>
      <w:r>
        <w:rPr>
          <w:color w:val="auto"/>
          <w:szCs w:val="21"/>
        </w:rPr>
        <w:t>投标人向监理单位、招标人提供的图纸、手册和技术资料应充分、广泛和详细地说明</w:t>
      </w:r>
      <w:r>
        <w:rPr>
          <w:rFonts w:hint="eastAsia"/>
          <w:color w:val="auto"/>
          <w:szCs w:val="21"/>
        </w:rPr>
        <w:t>信息网络系统</w:t>
      </w:r>
      <w:r>
        <w:rPr>
          <w:color w:val="auto"/>
          <w:szCs w:val="21"/>
        </w:rPr>
        <w:t>及其部件的性能、原理、结构和尺寸以及部件的型号、规格和技术参数，使招标人能够实现对</w:t>
      </w:r>
      <w:r>
        <w:rPr>
          <w:rFonts w:hint="eastAsia"/>
          <w:color w:val="auto"/>
          <w:szCs w:val="21"/>
          <w:lang w:val="en-US"/>
        </w:rPr>
        <w:t>本项目</w:t>
      </w:r>
      <w:r>
        <w:rPr>
          <w:rFonts w:hint="eastAsia"/>
          <w:color w:val="auto"/>
          <w:szCs w:val="21"/>
        </w:rPr>
        <w:t>系统</w:t>
      </w:r>
      <w:r>
        <w:rPr>
          <w:color w:val="auto"/>
          <w:szCs w:val="21"/>
        </w:rPr>
        <w:t>的操作、检查、修理、试验、调整和维护。</w:t>
      </w:r>
    </w:p>
    <w:p w14:paraId="1A297987">
      <w:pPr>
        <w:pStyle w:val="5"/>
        <w:rPr>
          <w:color w:val="auto"/>
          <w:szCs w:val="21"/>
        </w:rPr>
      </w:pPr>
      <w:r>
        <w:rPr>
          <w:color w:val="auto"/>
          <w:szCs w:val="21"/>
        </w:rPr>
        <w:t>所有文件都应表示出项目名称、投标人名称、招标人名称、日期和版本索引。图纸除应表示出标题、序号和比例，还应在图框旁留10</w:t>
      </w:r>
      <w:r>
        <w:rPr>
          <w:rFonts w:hint="eastAsia"/>
          <w:color w:val="auto"/>
          <w:szCs w:val="21"/>
        </w:rPr>
        <w:t>～</w:t>
      </w:r>
      <w:r>
        <w:rPr>
          <w:color w:val="auto"/>
          <w:szCs w:val="21"/>
        </w:rPr>
        <w:t>50mm的空白区，供招标人使用。</w:t>
      </w:r>
    </w:p>
    <w:p w14:paraId="3F24B886">
      <w:pPr>
        <w:pStyle w:val="5"/>
        <w:rPr>
          <w:color w:val="auto"/>
          <w:szCs w:val="21"/>
        </w:rPr>
      </w:pPr>
      <w:r>
        <w:rPr>
          <w:color w:val="auto"/>
          <w:szCs w:val="21"/>
        </w:rPr>
        <w:t>图纸上日期中的月份应采用数字，例如20</w:t>
      </w:r>
      <w:r>
        <w:rPr>
          <w:rFonts w:hint="eastAsia"/>
          <w:color w:val="auto"/>
          <w:szCs w:val="21"/>
          <w:lang w:val="en-US"/>
        </w:rPr>
        <w:t>23</w:t>
      </w:r>
      <w:r>
        <w:rPr>
          <w:color w:val="auto"/>
          <w:szCs w:val="21"/>
        </w:rPr>
        <w:t>/</w:t>
      </w:r>
      <w:r>
        <w:rPr>
          <w:rFonts w:hint="eastAsia"/>
          <w:color w:val="auto"/>
          <w:szCs w:val="21"/>
        </w:rPr>
        <w:t>07</w:t>
      </w:r>
      <w:r>
        <w:rPr>
          <w:color w:val="auto"/>
          <w:szCs w:val="21"/>
        </w:rPr>
        <w:t>/</w:t>
      </w:r>
      <w:r>
        <w:rPr>
          <w:rFonts w:hint="eastAsia"/>
          <w:color w:val="auto"/>
          <w:szCs w:val="21"/>
        </w:rPr>
        <w:t>30</w:t>
      </w:r>
      <w:r>
        <w:rPr>
          <w:color w:val="auto"/>
          <w:szCs w:val="21"/>
        </w:rPr>
        <w:t>（20</w:t>
      </w:r>
      <w:r>
        <w:rPr>
          <w:rFonts w:hint="eastAsia"/>
          <w:color w:val="auto"/>
          <w:szCs w:val="21"/>
          <w:lang w:val="en-US"/>
        </w:rPr>
        <w:t>23</w:t>
      </w:r>
      <w:r>
        <w:rPr>
          <w:color w:val="auto"/>
          <w:szCs w:val="21"/>
        </w:rPr>
        <w:t>年</w:t>
      </w:r>
      <w:r>
        <w:rPr>
          <w:rFonts w:hint="eastAsia"/>
          <w:color w:val="auto"/>
          <w:szCs w:val="21"/>
        </w:rPr>
        <w:t>7</w:t>
      </w:r>
      <w:r>
        <w:rPr>
          <w:color w:val="auto"/>
          <w:szCs w:val="21"/>
        </w:rPr>
        <w:t>月</w:t>
      </w:r>
      <w:r>
        <w:rPr>
          <w:rFonts w:hint="eastAsia"/>
          <w:color w:val="auto"/>
          <w:szCs w:val="21"/>
        </w:rPr>
        <w:t>30</w:t>
      </w:r>
      <w:r>
        <w:rPr>
          <w:color w:val="auto"/>
          <w:szCs w:val="21"/>
        </w:rPr>
        <w:t>日）。版本号应为1，2，</w:t>
      </w:r>
      <w:r>
        <w:rPr>
          <w:rFonts w:hint="eastAsia"/>
          <w:color w:val="auto"/>
          <w:szCs w:val="21"/>
        </w:rPr>
        <w:t>3</w:t>
      </w:r>
      <w:r>
        <w:rPr>
          <w:color w:val="auto"/>
          <w:szCs w:val="21"/>
        </w:rPr>
        <w:t>（从第一次发布开始），并注明版本变更的内容和原因。</w:t>
      </w:r>
    </w:p>
    <w:p w14:paraId="1A468891">
      <w:pPr>
        <w:pStyle w:val="5"/>
        <w:rPr>
          <w:color w:val="auto"/>
          <w:szCs w:val="21"/>
        </w:rPr>
      </w:pPr>
      <w:r>
        <w:rPr>
          <w:color w:val="auto"/>
          <w:szCs w:val="21"/>
        </w:rPr>
        <w:t>有技术资料、图纸和手册都应字迹清楚，内容完整，采用国际单位制（SI）单位、通用图形和符号。产品在国内生产的，应使用中文；产品由国外设备商在国外生产的，应使用中文</w:t>
      </w:r>
      <w:r>
        <w:rPr>
          <w:rFonts w:hint="eastAsia"/>
          <w:color w:val="auto"/>
          <w:szCs w:val="21"/>
        </w:rPr>
        <w:t>，可附带</w:t>
      </w:r>
      <w:r>
        <w:rPr>
          <w:color w:val="auto"/>
          <w:szCs w:val="21"/>
        </w:rPr>
        <w:t>英文</w:t>
      </w:r>
      <w:r>
        <w:rPr>
          <w:rFonts w:hint="eastAsia"/>
          <w:color w:val="auto"/>
          <w:szCs w:val="21"/>
        </w:rPr>
        <w:t>，文本内容以中文为准</w:t>
      </w:r>
      <w:r>
        <w:rPr>
          <w:color w:val="auto"/>
          <w:szCs w:val="21"/>
        </w:rPr>
        <w:t>。</w:t>
      </w:r>
    </w:p>
    <w:p w14:paraId="53C4F826">
      <w:pPr>
        <w:pStyle w:val="5"/>
        <w:rPr>
          <w:color w:val="auto"/>
          <w:szCs w:val="21"/>
        </w:rPr>
      </w:pPr>
      <w:r>
        <w:rPr>
          <w:color w:val="auto"/>
          <w:szCs w:val="21"/>
        </w:rPr>
        <w:t>图纸、手册和技术文件在设备设计和制造过程中有更新时，投标人应及时向招标人提供新的更新文件。</w:t>
      </w:r>
    </w:p>
    <w:p w14:paraId="17C23420">
      <w:pPr>
        <w:pStyle w:val="5"/>
        <w:rPr>
          <w:color w:val="auto"/>
          <w:szCs w:val="21"/>
        </w:rPr>
      </w:pPr>
      <w:r>
        <w:rPr>
          <w:color w:val="auto"/>
          <w:szCs w:val="21"/>
        </w:rPr>
        <w:t>手册和技术资料应采用活页式。投标人应保证所有的图纸、手册和技术资料的格式与招标人的要求相一致。</w:t>
      </w:r>
    </w:p>
    <w:p w14:paraId="2DE333E3">
      <w:pPr>
        <w:pStyle w:val="5"/>
        <w:rPr>
          <w:color w:val="auto"/>
          <w:szCs w:val="21"/>
        </w:rPr>
      </w:pPr>
      <w:r>
        <w:rPr>
          <w:color w:val="auto"/>
          <w:szCs w:val="21"/>
        </w:rPr>
        <w:t>除另有规定外应提供印刷文件</w:t>
      </w:r>
      <w:r>
        <w:rPr>
          <w:rFonts w:hint="eastAsia"/>
          <w:color w:val="auto"/>
          <w:szCs w:val="21"/>
        </w:rPr>
        <w:t>，数量按招标人的要求提供，</w:t>
      </w:r>
      <w:r>
        <w:rPr>
          <w:color w:val="auto"/>
          <w:szCs w:val="21"/>
        </w:rPr>
        <w:t>（必须是原件，而不是复制件）提交。</w:t>
      </w:r>
      <w:r>
        <w:rPr>
          <w:rFonts w:hint="eastAsia"/>
          <w:color w:val="auto"/>
          <w:szCs w:val="21"/>
        </w:rPr>
        <w:t>同时</w:t>
      </w:r>
      <w:r>
        <w:rPr>
          <w:color w:val="auto"/>
          <w:szCs w:val="21"/>
        </w:rPr>
        <w:t>为</w:t>
      </w:r>
      <w:r>
        <w:rPr>
          <w:rFonts w:hint="eastAsia"/>
          <w:color w:val="auto"/>
          <w:szCs w:val="21"/>
        </w:rPr>
        <w:t>便于</w:t>
      </w:r>
      <w:r>
        <w:rPr>
          <w:color w:val="auto"/>
          <w:szCs w:val="21"/>
        </w:rPr>
        <w:t>文件和/或图纸的复制，所有文件都应提交</w:t>
      </w:r>
      <w:r>
        <w:rPr>
          <w:rFonts w:hint="eastAsia"/>
          <w:color w:val="auto"/>
          <w:szCs w:val="21"/>
        </w:rPr>
        <w:t>3</w:t>
      </w:r>
      <w:r>
        <w:rPr>
          <w:color w:val="auto"/>
          <w:szCs w:val="21"/>
        </w:rPr>
        <w:t>套电子文件（U盘）。电子文档文件应用Microsoft office20</w:t>
      </w:r>
      <w:r>
        <w:rPr>
          <w:rFonts w:hint="eastAsia"/>
          <w:color w:val="auto"/>
          <w:szCs w:val="21"/>
          <w:lang w:val="en-US"/>
        </w:rPr>
        <w:t>03</w:t>
      </w:r>
      <w:r>
        <w:rPr>
          <w:color w:val="auto"/>
          <w:szCs w:val="21"/>
        </w:rPr>
        <w:t xml:space="preserve"> for windows（或以上版本）的形式提交。图形、电路图和机械图等应采用autocad</w:t>
      </w:r>
      <w:r>
        <w:rPr>
          <w:rFonts w:hint="eastAsia"/>
          <w:color w:val="auto"/>
          <w:szCs w:val="21"/>
        </w:rPr>
        <w:t>2014</w:t>
      </w:r>
      <w:r>
        <w:rPr>
          <w:color w:val="auto"/>
          <w:szCs w:val="21"/>
        </w:rPr>
        <w:t xml:space="preserve"> for windows（或以上版本）绘制。</w:t>
      </w:r>
    </w:p>
    <w:p w14:paraId="048BB407">
      <w:pPr>
        <w:pStyle w:val="5"/>
        <w:rPr>
          <w:color w:val="auto"/>
          <w:szCs w:val="21"/>
        </w:rPr>
      </w:pPr>
      <w:r>
        <w:rPr>
          <w:color w:val="auto"/>
          <w:szCs w:val="21"/>
        </w:rPr>
        <w:t>投标人的图纸应提供给有权使用图纸的监理单位</w:t>
      </w:r>
      <w:r>
        <w:rPr>
          <w:rFonts w:hint="eastAsia"/>
          <w:color w:val="auto"/>
          <w:szCs w:val="21"/>
        </w:rPr>
        <w:t>、设计单位</w:t>
      </w:r>
      <w:r>
        <w:rPr>
          <w:color w:val="auto"/>
          <w:szCs w:val="21"/>
        </w:rPr>
        <w:t>和招标人，而监理单位</w:t>
      </w:r>
      <w:r>
        <w:rPr>
          <w:rFonts w:hint="eastAsia"/>
          <w:color w:val="auto"/>
          <w:szCs w:val="21"/>
        </w:rPr>
        <w:t>、设计单位</w:t>
      </w:r>
      <w:r>
        <w:rPr>
          <w:color w:val="auto"/>
          <w:szCs w:val="21"/>
        </w:rPr>
        <w:t>和招标人只将其用于本</w:t>
      </w:r>
      <w:r>
        <w:rPr>
          <w:rFonts w:hint="eastAsia"/>
          <w:color w:val="auto"/>
          <w:szCs w:val="21"/>
        </w:rPr>
        <w:t>项目</w:t>
      </w:r>
      <w:r>
        <w:rPr>
          <w:color w:val="auto"/>
          <w:szCs w:val="21"/>
        </w:rPr>
        <w:t>的完成、操作、维护、调整和维修。</w:t>
      </w:r>
    </w:p>
    <w:p w14:paraId="0994AC5E">
      <w:pPr>
        <w:pStyle w:val="5"/>
        <w:rPr>
          <w:color w:val="auto"/>
          <w:szCs w:val="21"/>
        </w:rPr>
      </w:pPr>
      <w:r>
        <w:rPr>
          <w:color w:val="auto"/>
          <w:szCs w:val="21"/>
        </w:rPr>
        <w:t>投标人在投标书中要有图纸、手册和技术文件的建议书，包括所提交的技术文件目录清单，提交的时间，具体细节在在合同谈判中确定。</w:t>
      </w:r>
    </w:p>
    <w:p w14:paraId="27A44B93">
      <w:pPr>
        <w:pStyle w:val="4"/>
        <w:rPr>
          <w:sz w:val="21"/>
          <w:szCs w:val="21"/>
        </w:rPr>
      </w:pPr>
      <w:bookmarkStart w:id="2173" w:name="_Toc213407888"/>
      <w:bookmarkStart w:id="2174" w:name="_Toc218141250"/>
      <w:bookmarkStart w:id="2175" w:name="_Toc218147630"/>
      <w:bookmarkStart w:id="2176" w:name="_Toc218145254"/>
      <w:bookmarkStart w:id="2177" w:name="_Toc212873953"/>
      <w:bookmarkStart w:id="2178" w:name="_Toc214703992"/>
      <w:bookmarkStart w:id="2179" w:name="_Toc213477293"/>
      <w:bookmarkStart w:id="2180" w:name="_Toc231185207"/>
      <w:bookmarkStart w:id="2181" w:name="_Toc212872633"/>
      <w:bookmarkStart w:id="2182" w:name="_Toc128141224"/>
      <w:bookmarkStart w:id="2183" w:name="_Toc218142220"/>
      <w:bookmarkStart w:id="2184" w:name="_Toc213477539"/>
      <w:bookmarkStart w:id="2185" w:name="_Toc214704490"/>
      <w:bookmarkStart w:id="2186" w:name="_Toc130291602"/>
      <w:bookmarkStart w:id="2187" w:name="_Toc128139646"/>
      <w:bookmarkStart w:id="2188" w:name="_Toc234326846"/>
      <w:bookmarkStart w:id="2189" w:name="_Toc237702948"/>
      <w:bookmarkStart w:id="2190" w:name="_Toc128223327"/>
      <w:bookmarkStart w:id="2191" w:name="_Toc218147379"/>
      <w:bookmarkStart w:id="2192" w:name="_Toc218143911"/>
      <w:bookmarkStart w:id="2193" w:name="_Toc259981575"/>
      <w:bookmarkStart w:id="2194" w:name="_Toc218144954"/>
      <w:bookmarkStart w:id="2195" w:name="_Toc212875145"/>
      <w:bookmarkStart w:id="2196" w:name="_Toc128139365"/>
      <w:bookmarkStart w:id="2197" w:name="_Toc218144452"/>
      <w:bookmarkStart w:id="2198" w:name="_Toc214704241"/>
      <w:bookmarkStart w:id="2199" w:name="_Toc218141969"/>
      <w:bookmarkStart w:id="2200" w:name="_Toc218143480"/>
      <w:bookmarkStart w:id="2201" w:name="_Toc234326042"/>
      <w:bookmarkStart w:id="2202" w:name="_Toc218144201"/>
      <w:bookmarkStart w:id="2203" w:name="_Toc218141718"/>
      <w:bookmarkStart w:id="2204" w:name="_Toc128140621"/>
      <w:bookmarkStart w:id="2205" w:name="_Toc128141523"/>
      <w:bookmarkStart w:id="2206" w:name="_Toc217105805"/>
      <w:bookmarkStart w:id="2207" w:name="_Toc128140054"/>
      <w:bookmarkStart w:id="2208" w:name="_Toc215885588"/>
      <w:bookmarkStart w:id="2209" w:name="_Toc215889501"/>
      <w:bookmarkStart w:id="2210" w:name="_Toc131867931"/>
      <w:bookmarkStart w:id="2211" w:name="_Toc4853"/>
      <w:bookmarkStart w:id="2212" w:name="_Toc218145836"/>
      <w:bookmarkStart w:id="2213" w:name="_Toc30927"/>
      <w:bookmarkStart w:id="2214" w:name="_Toc234326310"/>
      <w:bookmarkStart w:id="2215" w:name="_Toc234326578"/>
      <w:bookmarkStart w:id="2216" w:name="_Toc212869991"/>
      <w:bookmarkStart w:id="2217" w:name="_Toc290373466"/>
      <w:bookmarkStart w:id="2218" w:name="_Toc218144703"/>
      <w:bookmarkStart w:id="2219" w:name="_Toc128141046"/>
      <w:r>
        <w:rPr>
          <w:sz w:val="21"/>
          <w:szCs w:val="21"/>
        </w:rPr>
        <w:t>图纸、手册</w:t>
      </w:r>
      <w:r>
        <w:rPr>
          <w:rFonts w:hint="eastAsia"/>
          <w:sz w:val="21"/>
          <w:szCs w:val="21"/>
        </w:rPr>
        <w:t>、软件</w:t>
      </w:r>
      <w:r>
        <w:rPr>
          <w:sz w:val="21"/>
          <w:szCs w:val="21"/>
        </w:rPr>
        <w:t>和技术文件的确认</w:t>
      </w:r>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p>
    <w:p w14:paraId="0DF6BE31">
      <w:pPr>
        <w:pStyle w:val="5"/>
        <w:rPr>
          <w:color w:val="auto"/>
          <w:szCs w:val="21"/>
        </w:rPr>
      </w:pPr>
      <w:r>
        <w:rPr>
          <w:color w:val="auto"/>
          <w:szCs w:val="21"/>
        </w:rPr>
        <w:t>投标人使用和提供的图纸、手册和技术文件必须经过招标人的确认。招标人的确认并不减轻投标人的任何责任。</w:t>
      </w:r>
    </w:p>
    <w:p w14:paraId="423CAF7E">
      <w:pPr>
        <w:pStyle w:val="5"/>
        <w:rPr>
          <w:color w:val="auto"/>
          <w:szCs w:val="21"/>
        </w:rPr>
      </w:pPr>
      <w:r>
        <w:rPr>
          <w:rFonts w:hint="eastAsia"/>
          <w:color w:val="auto"/>
          <w:szCs w:val="21"/>
        </w:rPr>
        <w:t>若</w:t>
      </w:r>
      <w:r>
        <w:rPr>
          <w:color w:val="auto"/>
          <w:szCs w:val="21"/>
        </w:rPr>
        <w:t>图纸、手册和技术文件经过确认，投标人未经招标人同意不按图生产，招标人有权拒绝接受产品。</w:t>
      </w:r>
    </w:p>
    <w:p w14:paraId="2FB5B75C">
      <w:pPr>
        <w:pStyle w:val="5"/>
        <w:rPr>
          <w:color w:val="auto"/>
          <w:szCs w:val="21"/>
        </w:rPr>
      </w:pPr>
      <w:r>
        <w:rPr>
          <w:color w:val="auto"/>
          <w:szCs w:val="21"/>
        </w:rPr>
        <w:t>图纸、手册和技术文件在</w:t>
      </w:r>
      <w:r>
        <w:rPr>
          <w:rFonts w:hint="eastAsia"/>
          <w:color w:val="auto"/>
          <w:szCs w:val="21"/>
          <w:lang w:eastAsia="zh-CN"/>
        </w:rPr>
        <w:t>技术联络</w:t>
      </w:r>
      <w:r>
        <w:rPr>
          <w:color w:val="auto"/>
          <w:szCs w:val="21"/>
        </w:rPr>
        <w:t>中确认。培训教材资料在培训实施前一个月交招标人确认，除非另有规定，投标人向招标人提交5份技术文件确认，当投标人、招标人加批注重新确认时，投标人应连同批准的共提交10份给招标人。</w:t>
      </w:r>
    </w:p>
    <w:p w14:paraId="5DD3B0F8">
      <w:pPr>
        <w:pStyle w:val="5"/>
        <w:rPr>
          <w:color w:val="auto"/>
          <w:szCs w:val="21"/>
        </w:rPr>
      </w:pPr>
      <w:r>
        <w:rPr>
          <w:color w:val="auto"/>
          <w:szCs w:val="21"/>
        </w:rPr>
        <w:t>一旦招标人完成最终确认，投标人就应提供招标人</w:t>
      </w:r>
      <w:r>
        <w:rPr>
          <w:rFonts w:hint="eastAsia"/>
          <w:color w:val="auto"/>
          <w:szCs w:val="21"/>
          <w:lang w:val="en-US"/>
        </w:rPr>
        <w:t>5</w:t>
      </w:r>
      <w:r>
        <w:rPr>
          <w:color w:val="auto"/>
          <w:szCs w:val="21"/>
        </w:rPr>
        <w:t>份完整的装订好的手册和2套完整的复制时使用的电子文件（光盘、U盘各</w:t>
      </w:r>
      <w:r>
        <w:rPr>
          <w:rFonts w:hint="eastAsia"/>
          <w:color w:val="auto"/>
          <w:szCs w:val="21"/>
        </w:rPr>
        <w:t>3</w:t>
      </w:r>
      <w:r>
        <w:rPr>
          <w:color w:val="auto"/>
          <w:szCs w:val="21"/>
        </w:rPr>
        <w:t>套）。</w:t>
      </w:r>
    </w:p>
    <w:p w14:paraId="34F3F29F">
      <w:pPr>
        <w:pStyle w:val="5"/>
        <w:rPr>
          <w:color w:val="auto"/>
          <w:szCs w:val="21"/>
        </w:rPr>
      </w:pPr>
      <w:r>
        <w:rPr>
          <w:rFonts w:hint="eastAsia"/>
          <w:color w:val="auto"/>
          <w:szCs w:val="21"/>
        </w:rPr>
        <w:t>投标人须按招标人要求更改所有系统密码及交付所有与现场安装软件版本相符的电子版。若投标人在软件安装交付后再更改软件、更新数据库或软件配置时，投标人应先获得招标人批准后才能进行，并再交付最新的软件电子版。除此之外投标人还应提供系统与其他系统之间接口数据说明和代码含义。</w:t>
      </w:r>
    </w:p>
    <w:p w14:paraId="6810EF91">
      <w:pPr>
        <w:pStyle w:val="4"/>
        <w:rPr>
          <w:sz w:val="21"/>
          <w:szCs w:val="21"/>
        </w:rPr>
      </w:pPr>
      <w:bookmarkStart w:id="2220" w:name="_Toc218147380"/>
      <w:bookmarkStart w:id="2221" w:name="_Toc218141251"/>
      <w:bookmarkStart w:id="2222" w:name="_Toc214703993"/>
      <w:bookmarkStart w:id="2223" w:name="_Toc214704491"/>
      <w:bookmarkStart w:id="2224" w:name="_Toc5289"/>
      <w:bookmarkStart w:id="2225" w:name="_Toc234326311"/>
      <w:bookmarkStart w:id="2226" w:name="_Toc213477294"/>
      <w:bookmarkStart w:id="2227" w:name="_Toc218145255"/>
      <w:bookmarkStart w:id="2228" w:name="_Toc234326579"/>
      <w:bookmarkStart w:id="2229" w:name="_Toc215889502"/>
      <w:bookmarkStart w:id="2230" w:name="_Toc231185208"/>
      <w:bookmarkStart w:id="2231" w:name="_Toc128140622"/>
      <w:bookmarkStart w:id="2232" w:name="_Toc218142221"/>
      <w:bookmarkStart w:id="2233" w:name="_Toc212873954"/>
      <w:bookmarkStart w:id="2234" w:name="_Toc128140055"/>
      <w:bookmarkStart w:id="2235" w:name="_Toc214704242"/>
      <w:bookmarkStart w:id="2236" w:name="_Toc213477540"/>
      <w:bookmarkStart w:id="2237" w:name="_Toc215885589"/>
      <w:bookmarkStart w:id="2238" w:name="_Toc234326847"/>
      <w:bookmarkStart w:id="2239" w:name="_Toc131867932"/>
      <w:bookmarkStart w:id="2240" w:name="_Toc213407889"/>
      <w:bookmarkStart w:id="2241" w:name="_Toc212875146"/>
      <w:bookmarkStart w:id="2242" w:name="_Toc128223328"/>
      <w:bookmarkStart w:id="2243" w:name="_Toc128141047"/>
      <w:bookmarkStart w:id="2244" w:name="_Toc218147631"/>
      <w:bookmarkStart w:id="2245" w:name="_Toc218144955"/>
      <w:bookmarkStart w:id="2246" w:name="_Toc212872634"/>
      <w:bookmarkStart w:id="2247" w:name="_Toc128139647"/>
      <w:bookmarkStart w:id="2248" w:name="_Toc217105806"/>
      <w:bookmarkStart w:id="2249" w:name="_Toc212869992"/>
      <w:bookmarkStart w:id="2250" w:name="_Toc130291603"/>
      <w:bookmarkStart w:id="2251" w:name="_Toc218144704"/>
      <w:bookmarkStart w:id="2252" w:name="_Toc234326043"/>
      <w:bookmarkStart w:id="2253" w:name="_Toc218141719"/>
      <w:bookmarkStart w:id="2254" w:name="_Toc218141970"/>
      <w:bookmarkStart w:id="2255" w:name="_Toc218145837"/>
      <w:bookmarkStart w:id="2256" w:name="_Toc31245"/>
      <w:bookmarkStart w:id="2257" w:name="_Toc128141524"/>
      <w:bookmarkStart w:id="2258" w:name="_Toc259981576"/>
      <w:bookmarkStart w:id="2259" w:name="_Toc218143481"/>
      <w:bookmarkStart w:id="2260" w:name="_Toc128141225"/>
      <w:bookmarkStart w:id="2261" w:name="_Toc128139366"/>
      <w:bookmarkStart w:id="2262" w:name="_Toc218144453"/>
      <w:bookmarkStart w:id="2263" w:name="_Toc290373467"/>
      <w:bookmarkStart w:id="2264" w:name="_Toc218144202"/>
      <w:bookmarkStart w:id="2265" w:name="_Toc218143912"/>
      <w:bookmarkStart w:id="2266" w:name="_Toc237702949"/>
      <w:r>
        <w:rPr>
          <w:sz w:val="21"/>
          <w:szCs w:val="21"/>
        </w:rPr>
        <w:t>产品、系统设计图</w:t>
      </w:r>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p>
    <w:p w14:paraId="04FCA1C4">
      <w:pPr>
        <w:pStyle w:val="5"/>
        <w:rPr>
          <w:color w:val="auto"/>
          <w:szCs w:val="21"/>
        </w:rPr>
      </w:pPr>
      <w:r>
        <w:rPr>
          <w:color w:val="auto"/>
          <w:szCs w:val="21"/>
        </w:rPr>
        <w:t>投标人应提供的产品、系统设计包括所需的图纸和技术说明、可靠性计算、与各相关设备的接口标准、协议等。</w:t>
      </w:r>
    </w:p>
    <w:p w14:paraId="60C52ED0">
      <w:pPr>
        <w:pStyle w:val="5"/>
        <w:rPr>
          <w:color w:val="auto"/>
          <w:szCs w:val="21"/>
        </w:rPr>
      </w:pPr>
      <w:r>
        <w:rPr>
          <w:color w:val="auto"/>
          <w:szCs w:val="21"/>
        </w:rPr>
        <w:t>图纸的完整性要求图纸必须包括：图样目录；系统原理图、主要部件的尺寸和安装图；明细表；汇总表等。</w:t>
      </w:r>
    </w:p>
    <w:p w14:paraId="0C81CF70">
      <w:pPr>
        <w:pStyle w:val="5"/>
        <w:rPr>
          <w:color w:val="auto"/>
          <w:szCs w:val="21"/>
        </w:rPr>
      </w:pPr>
      <w:r>
        <w:rPr>
          <w:color w:val="auto"/>
          <w:szCs w:val="21"/>
        </w:rPr>
        <w:t>对于为</w:t>
      </w:r>
      <w:r>
        <w:rPr>
          <w:rFonts w:hint="eastAsia"/>
          <w:color w:val="auto"/>
          <w:szCs w:val="21"/>
        </w:rPr>
        <w:t>本项目系统定制</w:t>
      </w:r>
      <w:r>
        <w:rPr>
          <w:color w:val="auto"/>
          <w:szCs w:val="21"/>
        </w:rPr>
        <w:t>设计、生产的产品，必须提供全部的图纸。</w:t>
      </w:r>
    </w:p>
    <w:p w14:paraId="5D922615">
      <w:pPr>
        <w:pStyle w:val="5"/>
        <w:rPr>
          <w:color w:val="auto"/>
          <w:szCs w:val="21"/>
        </w:rPr>
      </w:pPr>
      <w:r>
        <w:rPr>
          <w:color w:val="auto"/>
          <w:szCs w:val="21"/>
        </w:rPr>
        <w:t>对于可以从市场上采购到的产品，必须提供产品说明书与合格证，说明书应能满足招标人的采购和维护的要求。</w:t>
      </w:r>
    </w:p>
    <w:p w14:paraId="7E55C035">
      <w:pPr>
        <w:pStyle w:val="4"/>
        <w:rPr>
          <w:sz w:val="21"/>
          <w:szCs w:val="21"/>
        </w:rPr>
      </w:pPr>
      <w:bookmarkStart w:id="2267" w:name="_Toc130291604"/>
      <w:bookmarkStart w:id="2268" w:name="_Toc218141720"/>
      <w:bookmarkStart w:id="2269" w:name="_Toc212869993"/>
      <w:bookmarkStart w:id="2270" w:name="_Toc128141525"/>
      <w:bookmarkStart w:id="2271" w:name="_Toc212872635"/>
      <w:bookmarkStart w:id="2272" w:name="_Toc218144705"/>
      <w:bookmarkStart w:id="2273" w:name="_Toc218143913"/>
      <w:bookmarkStart w:id="2274" w:name="_Toc212873955"/>
      <w:bookmarkStart w:id="2275" w:name="_Toc234326848"/>
      <w:bookmarkStart w:id="2276" w:name="_Toc218145838"/>
      <w:bookmarkStart w:id="2277" w:name="_Toc214704492"/>
      <w:bookmarkStart w:id="2278" w:name="_Toc218142222"/>
      <w:bookmarkStart w:id="2279" w:name="_Toc128140056"/>
      <w:bookmarkStart w:id="2280" w:name="_Toc218144203"/>
      <w:bookmarkStart w:id="2281" w:name="_Toc259981577"/>
      <w:bookmarkStart w:id="2282" w:name="_Toc237702950"/>
      <w:bookmarkStart w:id="2283" w:name="_Toc218143482"/>
      <w:bookmarkStart w:id="2284" w:name="_Toc128141048"/>
      <w:bookmarkStart w:id="2285" w:name="_Toc231185209"/>
      <w:bookmarkStart w:id="2286" w:name="_Toc213477295"/>
      <w:bookmarkStart w:id="2287" w:name="_Toc24368"/>
      <w:bookmarkStart w:id="2288" w:name="_Toc215889503"/>
      <w:bookmarkStart w:id="2289" w:name="_Toc218144956"/>
      <w:bookmarkStart w:id="2290" w:name="_Toc218145256"/>
      <w:bookmarkStart w:id="2291" w:name="_Toc128140623"/>
      <w:bookmarkStart w:id="2292" w:name="_Toc214703994"/>
      <w:bookmarkStart w:id="2293" w:name="_Toc234326580"/>
      <w:bookmarkStart w:id="2294" w:name="_Toc218141252"/>
      <w:bookmarkStart w:id="2295" w:name="_Toc213407890"/>
      <w:bookmarkStart w:id="2296" w:name="_Toc213477541"/>
      <w:bookmarkStart w:id="2297" w:name="_Toc128139648"/>
      <w:bookmarkStart w:id="2298" w:name="_Toc234326312"/>
      <w:bookmarkStart w:id="2299" w:name="_Toc290373468"/>
      <w:bookmarkStart w:id="2300" w:name="_Toc131867933"/>
      <w:bookmarkStart w:id="2301" w:name="_Toc218147632"/>
      <w:bookmarkStart w:id="2302" w:name="_Toc212875147"/>
      <w:bookmarkStart w:id="2303" w:name="_Toc217105807"/>
      <w:bookmarkStart w:id="2304" w:name="_Toc218147381"/>
      <w:bookmarkStart w:id="2305" w:name="_Toc128141226"/>
      <w:bookmarkStart w:id="2306" w:name="_Toc218141971"/>
      <w:bookmarkStart w:id="2307" w:name="_Toc218144454"/>
      <w:bookmarkStart w:id="2308" w:name="_Toc215885590"/>
      <w:bookmarkStart w:id="2309" w:name="_Toc214704243"/>
      <w:bookmarkStart w:id="2310" w:name="_Toc234326044"/>
      <w:bookmarkStart w:id="2311" w:name="_Toc128223329"/>
      <w:bookmarkStart w:id="2312" w:name="_Toc128139367"/>
      <w:r>
        <w:rPr>
          <w:sz w:val="21"/>
          <w:szCs w:val="21"/>
        </w:rPr>
        <w:t>安装设计图、资料</w:t>
      </w:r>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p>
    <w:p w14:paraId="6A15E63E">
      <w:pPr>
        <w:pStyle w:val="5"/>
        <w:rPr>
          <w:color w:val="auto"/>
          <w:szCs w:val="21"/>
        </w:rPr>
      </w:pPr>
      <w:bookmarkStart w:id="2313" w:name="_Toc293470488"/>
      <w:r>
        <w:rPr>
          <w:color w:val="auto"/>
          <w:szCs w:val="21"/>
        </w:rPr>
        <w:t>投标人</w:t>
      </w:r>
      <w:r>
        <w:rPr>
          <w:rFonts w:hint="eastAsia"/>
          <w:color w:val="auto"/>
          <w:szCs w:val="21"/>
        </w:rPr>
        <w:t>须</w:t>
      </w:r>
      <w:r>
        <w:rPr>
          <w:color w:val="auto"/>
          <w:szCs w:val="21"/>
        </w:rPr>
        <w:t>向招标人提供用于安装设计的安装设计图纸、资料，包括</w:t>
      </w:r>
      <w:r>
        <w:rPr>
          <w:rFonts w:hint="eastAsia"/>
          <w:color w:val="auto"/>
          <w:szCs w:val="21"/>
        </w:rPr>
        <w:t>但不限于</w:t>
      </w:r>
      <w:r>
        <w:rPr>
          <w:color w:val="auto"/>
          <w:szCs w:val="21"/>
        </w:rPr>
        <w:t>：图样目录</w:t>
      </w:r>
      <w:r>
        <w:rPr>
          <w:rFonts w:hint="eastAsia"/>
          <w:color w:val="auto"/>
          <w:szCs w:val="21"/>
        </w:rPr>
        <w:t>、</w:t>
      </w:r>
      <w:r>
        <w:rPr>
          <w:color w:val="auto"/>
          <w:szCs w:val="21"/>
        </w:rPr>
        <w:t>设备的尺寸和安装图</w:t>
      </w:r>
      <w:r>
        <w:rPr>
          <w:rFonts w:hint="eastAsia"/>
          <w:color w:val="auto"/>
          <w:szCs w:val="21"/>
        </w:rPr>
        <w:t>、</w:t>
      </w:r>
      <w:r>
        <w:rPr>
          <w:color w:val="auto"/>
          <w:szCs w:val="21"/>
        </w:rPr>
        <w:t>系统配线图</w:t>
      </w:r>
      <w:r>
        <w:rPr>
          <w:rFonts w:hint="eastAsia"/>
          <w:color w:val="auto"/>
          <w:szCs w:val="21"/>
        </w:rPr>
        <w:t>、</w:t>
      </w:r>
      <w:r>
        <w:rPr>
          <w:color w:val="auto"/>
          <w:szCs w:val="21"/>
        </w:rPr>
        <w:t>设备配线图</w:t>
      </w:r>
      <w:r>
        <w:rPr>
          <w:rFonts w:hint="eastAsia"/>
          <w:color w:val="auto"/>
          <w:szCs w:val="21"/>
        </w:rPr>
        <w:t>、</w:t>
      </w:r>
      <w:r>
        <w:rPr>
          <w:color w:val="auto"/>
          <w:szCs w:val="21"/>
        </w:rPr>
        <w:t>接地图</w:t>
      </w:r>
      <w:r>
        <w:rPr>
          <w:rFonts w:hint="eastAsia"/>
          <w:color w:val="auto"/>
          <w:szCs w:val="21"/>
        </w:rPr>
        <w:t>、机柜面板图、端子分配表、其他</w:t>
      </w:r>
      <w:r>
        <w:rPr>
          <w:color w:val="auto"/>
          <w:szCs w:val="21"/>
        </w:rPr>
        <w:t>技术资料。</w:t>
      </w:r>
      <w:bookmarkEnd w:id="2313"/>
    </w:p>
    <w:p w14:paraId="7DDC78A5">
      <w:pPr>
        <w:pStyle w:val="4"/>
        <w:rPr>
          <w:sz w:val="21"/>
          <w:szCs w:val="21"/>
        </w:rPr>
      </w:pPr>
      <w:bookmarkStart w:id="2314" w:name="_Toc218141254"/>
      <w:bookmarkStart w:id="2315" w:name="_Toc128141228"/>
      <w:bookmarkStart w:id="2316" w:name="_Toc131867935"/>
      <w:bookmarkStart w:id="2317" w:name="_Toc212872637"/>
      <w:bookmarkStart w:id="2318" w:name="_Toc218144456"/>
      <w:bookmarkStart w:id="2319" w:name="_Toc213477543"/>
      <w:bookmarkStart w:id="2320" w:name="_Toc237702952"/>
      <w:bookmarkStart w:id="2321" w:name="_Toc218147383"/>
      <w:bookmarkStart w:id="2322" w:name="_Toc212869995"/>
      <w:bookmarkStart w:id="2323" w:name="_Toc128141050"/>
      <w:bookmarkStart w:id="2324" w:name="_Toc130291606"/>
      <w:bookmarkStart w:id="2325" w:name="_Toc128140058"/>
      <w:bookmarkStart w:id="2326" w:name="_Toc128139369"/>
      <w:bookmarkStart w:id="2327" w:name="_Toc128139650"/>
      <w:bookmarkStart w:id="2328" w:name="_Toc128141527"/>
      <w:bookmarkStart w:id="2329" w:name="_Toc28278"/>
      <w:bookmarkStart w:id="2330" w:name="_Toc218145840"/>
      <w:bookmarkStart w:id="2331" w:name="_Toc128140625"/>
      <w:bookmarkStart w:id="2332" w:name="_Toc218141973"/>
      <w:bookmarkStart w:id="2333" w:name="_Toc218144205"/>
      <w:bookmarkStart w:id="2334" w:name="_Toc215885592"/>
      <w:bookmarkStart w:id="2335" w:name="_Toc234326850"/>
      <w:bookmarkStart w:id="2336" w:name="_Toc290373470"/>
      <w:bookmarkStart w:id="2337" w:name="_Toc218147634"/>
      <w:bookmarkStart w:id="2338" w:name="_Toc128223331"/>
      <w:bookmarkStart w:id="2339" w:name="_Toc259981579"/>
      <w:bookmarkStart w:id="2340" w:name="_Toc218145258"/>
      <w:bookmarkStart w:id="2341" w:name="_Toc214704245"/>
      <w:bookmarkStart w:id="2342" w:name="_Toc213407892"/>
      <w:bookmarkStart w:id="2343" w:name="_Toc218143915"/>
      <w:bookmarkStart w:id="2344" w:name="_Toc212875149"/>
      <w:bookmarkStart w:id="2345" w:name="_Toc218144707"/>
      <w:bookmarkStart w:id="2346" w:name="_Toc217105809"/>
      <w:bookmarkStart w:id="2347" w:name="_Toc234326314"/>
      <w:bookmarkStart w:id="2348" w:name="_Toc218142224"/>
      <w:bookmarkStart w:id="2349" w:name="_Toc17897"/>
      <w:bookmarkStart w:id="2350" w:name="_Toc218143484"/>
      <w:bookmarkStart w:id="2351" w:name="_Toc214703996"/>
      <w:bookmarkStart w:id="2352" w:name="_Toc218144958"/>
      <w:bookmarkStart w:id="2353" w:name="_Toc218141722"/>
      <w:bookmarkStart w:id="2354" w:name="_Toc215889505"/>
      <w:bookmarkStart w:id="2355" w:name="_Toc234326582"/>
      <w:bookmarkStart w:id="2356" w:name="_Toc213477297"/>
      <w:bookmarkStart w:id="2357" w:name="_Toc234326046"/>
      <w:bookmarkStart w:id="2358" w:name="_Toc212873957"/>
      <w:bookmarkStart w:id="2359" w:name="_Toc214704494"/>
      <w:bookmarkStart w:id="2360" w:name="_Toc231185211"/>
      <w:r>
        <w:rPr>
          <w:sz w:val="21"/>
          <w:szCs w:val="21"/>
        </w:rPr>
        <w:t>试验、检验规范书及测试和测试检验报告</w:t>
      </w:r>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p>
    <w:p w14:paraId="7FE76C04">
      <w:pPr>
        <w:pStyle w:val="5"/>
        <w:rPr>
          <w:color w:val="auto"/>
          <w:szCs w:val="21"/>
        </w:rPr>
      </w:pPr>
      <w:r>
        <w:rPr>
          <w:color w:val="auto"/>
          <w:szCs w:val="21"/>
        </w:rPr>
        <w:t>测试、检验规范书应包括测试、检验阶段的试验条件、测试设备、试验方法、测试检验内容、标准和测试检验程序。具体细节在</w:t>
      </w:r>
      <w:r>
        <w:rPr>
          <w:rFonts w:hint="eastAsia"/>
          <w:color w:val="auto"/>
          <w:szCs w:val="21"/>
          <w:lang w:eastAsia="zh-CN"/>
        </w:rPr>
        <w:t>技术联络</w:t>
      </w:r>
      <w:r>
        <w:rPr>
          <w:color w:val="auto"/>
          <w:szCs w:val="21"/>
        </w:rPr>
        <w:t>中确认。</w:t>
      </w:r>
    </w:p>
    <w:p w14:paraId="2709C8EE">
      <w:pPr>
        <w:pStyle w:val="5"/>
        <w:rPr>
          <w:color w:val="auto"/>
          <w:szCs w:val="21"/>
        </w:rPr>
      </w:pPr>
      <w:r>
        <w:rPr>
          <w:color w:val="auto"/>
          <w:szCs w:val="21"/>
        </w:rPr>
        <w:t>测试检验报告应包括全部测试内容、标准值、测试值、以及系统、地点、日期、测试人等，该报告应详尽到可使招标人对测试检验的真实性和准确性进行评定。测试检验报告要投标人、招标人的共同签认。</w:t>
      </w:r>
    </w:p>
    <w:p w14:paraId="1A0DBAF7">
      <w:pPr>
        <w:pStyle w:val="4"/>
        <w:rPr>
          <w:sz w:val="21"/>
          <w:szCs w:val="21"/>
        </w:rPr>
      </w:pPr>
      <w:bookmarkStart w:id="2361" w:name="_Toc6854"/>
      <w:bookmarkStart w:id="2362" w:name="_Toc1395"/>
      <w:r>
        <w:rPr>
          <w:sz w:val="21"/>
          <w:szCs w:val="21"/>
        </w:rPr>
        <w:t>竣工</w:t>
      </w:r>
      <w:r>
        <w:rPr>
          <w:rFonts w:hint="eastAsia"/>
          <w:sz w:val="21"/>
          <w:szCs w:val="21"/>
        </w:rPr>
        <w:t>文件</w:t>
      </w:r>
      <w:bookmarkEnd w:id="2361"/>
      <w:bookmarkEnd w:id="2362"/>
    </w:p>
    <w:p w14:paraId="78F32BAE">
      <w:pPr>
        <w:pStyle w:val="5"/>
        <w:rPr>
          <w:color w:val="auto"/>
          <w:szCs w:val="21"/>
        </w:rPr>
      </w:pPr>
      <w:bookmarkStart w:id="2363" w:name="_Toc272570991"/>
      <w:r>
        <w:rPr>
          <w:color w:val="auto"/>
          <w:szCs w:val="21"/>
        </w:rPr>
        <w:t>当工程完工时，投标人应向招标人提交</w:t>
      </w:r>
      <w:r>
        <w:rPr>
          <w:rFonts w:hint="eastAsia"/>
          <w:color w:val="auto"/>
          <w:szCs w:val="21"/>
        </w:rPr>
        <w:t>本项目各阶段的相关文件，竣工文件的内容和文整应符合招标人档案管理要求</w:t>
      </w:r>
      <w:bookmarkStart w:id="2364" w:name="_Toc271511493"/>
      <w:r>
        <w:rPr>
          <w:rFonts w:hint="eastAsia"/>
          <w:color w:val="auto"/>
          <w:szCs w:val="21"/>
        </w:rPr>
        <w:t>。</w:t>
      </w:r>
      <w:bookmarkEnd w:id="2364"/>
    </w:p>
    <w:p w14:paraId="433989E7">
      <w:pPr>
        <w:pStyle w:val="5"/>
        <w:rPr>
          <w:color w:val="auto"/>
          <w:szCs w:val="21"/>
        </w:rPr>
      </w:pPr>
      <w:r>
        <w:rPr>
          <w:rFonts w:hint="eastAsia"/>
          <w:color w:val="auto"/>
          <w:szCs w:val="21"/>
        </w:rPr>
        <w:t>招标人对本项目采用设备资产管理系统进行信息化管理。投标人应积极配合招标人的竣工资料的整理、设备档案的建立等工作，根据招标人的具体要求提供相关资料、电子文档和技术、人力上的支持。投标人应承担此项工作的所有费用，并不得以任何借口延误此项工作。</w:t>
      </w:r>
    </w:p>
    <w:p w14:paraId="213AD916">
      <w:pPr>
        <w:pStyle w:val="5"/>
        <w:rPr>
          <w:color w:val="auto"/>
          <w:szCs w:val="21"/>
        </w:rPr>
      </w:pPr>
      <w:r>
        <w:rPr>
          <w:rFonts w:hint="eastAsia"/>
          <w:color w:val="auto"/>
          <w:szCs w:val="21"/>
        </w:rPr>
        <w:t>投标人应负责完成向南宁市档案部门移交竣工文件的工作。</w:t>
      </w:r>
    </w:p>
    <w:bookmarkEnd w:id="2363"/>
    <w:p w14:paraId="18A6C3D6">
      <w:pPr>
        <w:pStyle w:val="4"/>
        <w:rPr>
          <w:sz w:val="21"/>
          <w:szCs w:val="21"/>
        </w:rPr>
      </w:pPr>
      <w:bookmarkStart w:id="2365" w:name="_Toc128139371"/>
      <w:bookmarkStart w:id="2366" w:name="_Toc218141724"/>
      <w:bookmarkStart w:id="2367" w:name="_Toc218147636"/>
      <w:bookmarkStart w:id="2368" w:name="_Toc213407894"/>
      <w:bookmarkStart w:id="2369" w:name="_Toc218143486"/>
      <w:bookmarkStart w:id="2370" w:name="_Toc128141230"/>
      <w:bookmarkStart w:id="2371" w:name="_Toc128141529"/>
      <w:bookmarkStart w:id="2372" w:name="_Toc215885594"/>
      <w:bookmarkStart w:id="2373" w:name="_Toc130291608"/>
      <w:bookmarkStart w:id="2374" w:name="_Toc218141256"/>
      <w:bookmarkStart w:id="2375" w:name="_Toc212872639"/>
      <w:bookmarkStart w:id="2376" w:name="_Toc212875151"/>
      <w:bookmarkStart w:id="2377" w:name="_Toc259981581"/>
      <w:bookmarkStart w:id="2378" w:name="_Toc214704247"/>
      <w:bookmarkStart w:id="2379" w:name="_Toc213477545"/>
      <w:bookmarkStart w:id="2380" w:name="_Toc231185213"/>
      <w:bookmarkStart w:id="2381" w:name="_Toc218144458"/>
      <w:bookmarkStart w:id="2382" w:name="_Toc218147385"/>
      <w:bookmarkStart w:id="2383" w:name="_Toc218142226"/>
      <w:bookmarkStart w:id="2384" w:name="_Toc214703998"/>
      <w:bookmarkStart w:id="2385" w:name="_Toc128139652"/>
      <w:bookmarkStart w:id="2386" w:name="_Toc234326584"/>
      <w:bookmarkStart w:id="2387" w:name="_Toc128223333"/>
      <w:bookmarkStart w:id="2388" w:name="_Toc128141052"/>
      <w:bookmarkStart w:id="2389" w:name="_Toc214704496"/>
      <w:bookmarkStart w:id="2390" w:name="_Toc215889507"/>
      <w:bookmarkStart w:id="2391" w:name="_Toc218143917"/>
      <w:bookmarkStart w:id="2392" w:name="_Toc218145260"/>
      <w:bookmarkStart w:id="2393" w:name="_Toc131867937"/>
      <w:bookmarkStart w:id="2394" w:name="_Toc218144709"/>
      <w:bookmarkStart w:id="2395" w:name="_Toc128140060"/>
      <w:bookmarkStart w:id="2396" w:name="_Toc237702954"/>
      <w:bookmarkStart w:id="2397" w:name="_Toc218145842"/>
      <w:bookmarkStart w:id="2398" w:name="_Toc128140627"/>
      <w:bookmarkStart w:id="2399" w:name="_Toc212873959"/>
      <w:bookmarkStart w:id="2400" w:name="_Toc234326048"/>
      <w:bookmarkStart w:id="2401" w:name="_Toc234326852"/>
      <w:bookmarkStart w:id="2402" w:name="_Toc290373472"/>
      <w:bookmarkStart w:id="2403" w:name="_Toc234326316"/>
      <w:bookmarkStart w:id="2404" w:name="_Toc218144207"/>
      <w:bookmarkStart w:id="2405" w:name="_Toc1251"/>
      <w:bookmarkStart w:id="2406" w:name="_Toc213477299"/>
      <w:bookmarkStart w:id="2407" w:name="_Toc212869997"/>
      <w:bookmarkStart w:id="2408" w:name="_Toc218144960"/>
      <w:bookmarkStart w:id="2409" w:name="_Toc218141975"/>
      <w:bookmarkStart w:id="2410" w:name="_Toc217105811"/>
      <w:r>
        <w:rPr>
          <w:rFonts w:hint="eastAsia"/>
          <w:sz w:val="21"/>
          <w:szCs w:val="21"/>
          <w:lang w:eastAsia="zh-CN"/>
        </w:rPr>
        <w:t>部署</w:t>
      </w:r>
      <w:r>
        <w:rPr>
          <w:sz w:val="21"/>
          <w:szCs w:val="21"/>
        </w:rPr>
        <w:t>手册</w:t>
      </w:r>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p>
    <w:p w14:paraId="37FEC3CE">
      <w:pPr>
        <w:pStyle w:val="5"/>
        <w:rPr>
          <w:color w:val="auto"/>
          <w:szCs w:val="21"/>
        </w:rPr>
      </w:pPr>
      <w:r>
        <w:rPr>
          <w:rFonts w:hint="eastAsia"/>
          <w:color w:val="auto"/>
          <w:szCs w:val="21"/>
          <w:lang w:eastAsia="zh-CN"/>
        </w:rPr>
        <w:t>部署</w:t>
      </w:r>
      <w:r>
        <w:rPr>
          <w:color w:val="auto"/>
          <w:szCs w:val="21"/>
        </w:rPr>
        <w:t>手册应由所需全部图纸和资料组成。应包括但不限于：</w:t>
      </w:r>
    </w:p>
    <w:p w14:paraId="12C0AC96">
      <w:pPr>
        <w:widowControl/>
        <w:numPr>
          <w:ilvl w:val="0"/>
          <w:numId w:val="38"/>
        </w:numPr>
        <w:tabs>
          <w:tab w:val="left" w:pos="1486"/>
        </w:tabs>
        <w:adjustRightInd w:val="0"/>
        <w:snapToGrid w:val="0"/>
        <w:ind w:left="1378"/>
        <w:rPr>
          <w:sz w:val="21"/>
          <w:szCs w:val="21"/>
        </w:rPr>
      </w:pPr>
      <w:r>
        <w:rPr>
          <w:sz w:val="21"/>
          <w:szCs w:val="21"/>
        </w:rPr>
        <w:t>电源、数据、控制和通信接口的配线规程；</w:t>
      </w:r>
    </w:p>
    <w:p w14:paraId="2B5590E6">
      <w:pPr>
        <w:widowControl/>
        <w:numPr>
          <w:ilvl w:val="0"/>
          <w:numId w:val="38"/>
        </w:numPr>
        <w:tabs>
          <w:tab w:val="left" w:pos="1486"/>
        </w:tabs>
        <w:adjustRightInd w:val="0"/>
        <w:snapToGrid w:val="0"/>
        <w:ind w:left="1378"/>
        <w:rPr>
          <w:sz w:val="21"/>
          <w:szCs w:val="21"/>
        </w:rPr>
      </w:pPr>
      <w:r>
        <w:rPr>
          <w:sz w:val="21"/>
          <w:szCs w:val="21"/>
        </w:rPr>
        <w:t>为设备就位所需之地板、导轨、支架的安装、钻孔和上螺丝的方法；</w:t>
      </w:r>
    </w:p>
    <w:p w14:paraId="6E5C5509">
      <w:pPr>
        <w:widowControl/>
        <w:numPr>
          <w:ilvl w:val="0"/>
          <w:numId w:val="38"/>
        </w:numPr>
        <w:tabs>
          <w:tab w:val="left" w:pos="1486"/>
        </w:tabs>
        <w:adjustRightInd w:val="0"/>
        <w:snapToGrid w:val="0"/>
        <w:ind w:left="1378"/>
        <w:rPr>
          <w:sz w:val="21"/>
          <w:szCs w:val="21"/>
        </w:rPr>
      </w:pPr>
      <w:r>
        <w:rPr>
          <w:sz w:val="21"/>
          <w:szCs w:val="21"/>
        </w:rPr>
        <w:t>安全警告或注意事项；</w:t>
      </w:r>
    </w:p>
    <w:p w14:paraId="6839CA8A">
      <w:pPr>
        <w:widowControl/>
        <w:numPr>
          <w:ilvl w:val="0"/>
          <w:numId w:val="38"/>
        </w:numPr>
        <w:tabs>
          <w:tab w:val="left" w:pos="1486"/>
        </w:tabs>
        <w:adjustRightInd w:val="0"/>
        <w:snapToGrid w:val="0"/>
        <w:ind w:left="1378"/>
        <w:rPr>
          <w:sz w:val="21"/>
          <w:szCs w:val="21"/>
        </w:rPr>
      </w:pPr>
      <w:r>
        <w:rPr>
          <w:sz w:val="21"/>
          <w:szCs w:val="21"/>
        </w:rPr>
        <w:t>接地及其连接规程；</w:t>
      </w:r>
    </w:p>
    <w:p w14:paraId="7B9F27AA">
      <w:pPr>
        <w:widowControl/>
        <w:numPr>
          <w:ilvl w:val="0"/>
          <w:numId w:val="38"/>
        </w:numPr>
        <w:tabs>
          <w:tab w:val="left" w:pos="1486"/>
        </w:tabs>
        <w:adjustRightInd w:val="0"/>
        <w:snapToGrid w:val="0"/>
        <w:ind w:left="1378"/>
        <w:rPr>
          <w:sz w:val="21"/>
          <w:szCs w:val="21"/>
        </w:rPr>
      </w:pPr>
      <w:r>
        <w:rPr>
          <w:sz w:val="21"/>
          <w:szCs w:val="21"/>
        </w:rPr>
        <w:t>接近和通风说明；</w:t>
      </w:r>
    </w:p>
    <w:p w14:paraId="4A4538AD">
      <w:pPr>
        <w:widowControl/>
        <w:numPr>
          <w:ilvl w:val="0"/>
          <w:numId w:val="38"/>
        </w:numPr>
        <w:tabs>
          <w:tab w:val="left" w:pos="1486"/>
        </w:tabs>
        <w:adjustRightInd w:val="0"/>
        <w:snapToGrid w:val="0"/>
        <w:ind w:left="1378"/>
        <w:rPr>
          <w:sz w:val="21"/>
          <w:szCs w:val="21"/>
        </w:rPr>
      </w:pPr>
      <w:r>
        <w:rPr>
          <w:sz w:val="21"/>
          <w:szCs w:val="21"/>
        </w:rPr>
        <w:t>测试和校准方法；</w:t>
      </w:r>
    </w:p>
    <w:p w14:paraId="4995E2B2">
      <w:pPr>
        <w:widowControl/>
        <w:numPr>
          <w:ilvl w:val="0"/>
          <w:numId w:val="38"/>
        </w:numPr>
        <w:tabs>
          <w:tab w:val="left" w:pos="1486"/>
        </w:tabs>
        <w:adjustRightInd w:val="0"/>
        <w:snapToGrid w:val="0"/>
        <w:ind w:left="1378"/>
        <w:rPr>
          <w:sz w:val="21"/>
          <w:szCs w:val="21"/>
        </w:rPr>
      </w:pPr>
      <w:r>
        <w:rPr>
          <w:sz w:val="21"/>
          <w:szCs w:val="21"/>
        </w:rPr>
        <w:t>气候防护、灰尘防护和其他的环境防护；</w:t>
      </w:r>
    </w:p>
    <w:p w14:paraId="0B055AA4">
      <w:pPr>
        <w:widowControl/>
        <w:numPr>
          <w:ilvl w:val="0"/>
          <w:numId w:val="38"/>
        </w:numPr>
        <w:tabs>
          <w:tab w:val="left" w:pos="1486"/>
        </w:tabs>
        <w:adjustRightInd w:val="0"/>
        <w:snapToGrid w:val="0"/>
        <w:ind w:left="1378"/>
        <w:rPr>
          <w:sz w:val="21"/>
          <w:szCs w:val="21"/>
        </w:rPr>
      </w:pPr>
      <w:r>
        <w:rPr>
          <w:sz w:val="21"/>
          <w:szCs w:val="21"/>
        </w:rPr>
        <w:t>正确</w:t>
      </w:r>
      <w:r>
        <w:rPr>
          <w:rFonts w:hint="eastAsia"/>
          <w:sz w:val="21"/>
          <w:szCs w:val="21"/>
          <w:lang w:eastAsia="zh-CN"/>
        </w:rPr>
        <w:t>部署</w:t>
      </w:r>
      <w:r>
        <w:rPr>
          <w:sz w:val="21"/>
          <w:szCs w:val="21"/>
        </w:rPr>
        <w:t>设备所需要的其他规程；</w:t>
      </w:r>
    </w:p>
    <w:p w14:paraId="7A9D2F33">
      <w:pPr>
        <w:widowControl/>
        <w:numPr>
          <w:ilvl w:val="0"/>
          <w:numId w:val="38"/>
        </w:numPr>
        <w:tabs>
          <w:tab w:val="left" w:pos="1486"/>
        </w:tabs>
        <w:adjustRightInd w:val="0"/>
        <w:snapToGrid w:val="0"/>
        <w:ind w:left="1378"/>
        <w:rPr>
          <w:sz w:val="21"/>
          <w:szCs w:val="21"/>
        </w:rPr>
      </w:pPr>
      <w:r>
        <w:rPr>
          <w:sz w:val="21"/>
          <w:szCs w:val="21"/>
        </w:rPr>
        <w:t>安装所需工具的功能及建议数量。</w:t>
      </w:r>
    </w:p>
    <w:p w14:paraId="064A78D4">
      <w:pPr>
        <w:pStyle w:val="4"/>
        <w:rPr>
          <w:sz w:val="21"/>
          <w:szCs w:val="21"/>
        </w:rPr>
      </w:pPr>
      <w:bookmarkStart w:id="2411" w:name="_Toc237702955"/>
      <w:bookmarkStart w:id="2412" w:name="_Toc128140061"/>
      <w:bookmarkStart w:id="2413" w:name="_Toc128223334"/>
      <w:bookmarkStart w:id="2414" w:name="_Toc131867938"/>
      <w:bookmarkStart w:id="2415" w:name="_Toc218147637"/>
      <w:bookmarkStart w:id="2416" w:name="_Toc128141053"/>
      <w:bookmarkStart w:id="2417" w:name="_Toc213477300"/>
      <w:bookmarkStart w:id="2418" w:name="_Toc212875152"/>
      <w:bookmarkStart w:id="2419" w:name="_Toc212872640"/>
      <w:bookmarkStart w:id="2420" w:name="_Toc128141530"/>
      <w:bookmarkStart w:id="2421" w:name="_Toc217105812"/>
      <w:bookmarkStart w:id="2422" w:name="_Toc234326853"/>
      <w:bookmarkStart w:id="2423" w:name="_Toc218143487"/>
      <w:bookmarkStart w:id="2424" w:name="_Toc218144710"/>
      <w:bookmarkStart w:id="2425" w:name="_Toc214704248"/>
      <w:bookmarkStart w:id="2426" w:name="_Toc128139372"/>
      <w:bookmarkStart w:id="2427" w:name="_Toc215885595"/>
      <w:bookmarkStart w:id="2428" w:name="_Toc128141231"/>
      <w:bookmarkStart w:id="2429" w:name="_Toc212873960"/>
      <w:bookmarkStart w:id="2430" w:name="_Toc234326049"/>
      <w:bookmarkStart w:id="2431" w:name="_Toc218144961"/>
      <w:bookmarkStart w:id="2432" w:name="_Toc218147386"/>
      <w:bookmarkStart w:id="2433" w:name="_Toc218145843"/>
      <w:bookmarkStart w:id="2434" w:name="_Toc259981582"/>
      <w:bookmarkStart w:id="2435" w:name="_Toc128140628"/>
      <w:bookmarkStart w:id="2436" w:name="_Toc218142227"/>
      <w:bookmarkStart w:id="2437" w:name="_Toc218143918"/>
      <w:bookmarkStart w:id="2438" w:name="_Toc218144459"/>
      <w:bookmarkStart w:id="2439" w:name="_Toc16656"/>
      <w:bookmarkStart w:id="2440" w:name="_Toc128139653"/>
      <w:bookmarkStart w:id="2441" w:name="_Toc290373473"/>
      <w:bookmarkStart w:id="2442" w:name="_Toc218144208"/>
      <w:bookmarkStart w:id="2443" w:name="_Toc218145261"/>
      <w:bookmarkStart w:id="2444" w:name="_Toc130291609"/>
      <w:bookmarkStart w:id="2445" w:name="_Toc218141725"/>
      <w:bookmarkStart w:id="2446" w:name="_Toc234326317"/>
      <w:bookmarkStart w:id="2447" w:name="_Toc214703999"/>
      <w:bookmarkStart w:id="2448" w:name="_Toc26599"/>
      <w:bookmarkStart w:id="2449" w:name="_Toc212869998"/>
      <w:bookmarkStart w:id="2450" w:name="_Toc214704497"/>
      <w:bookmarkStart w:id="2451" w:name="_Toc215889508"/>
      <w:bookmarkStart w:id="2452" w:name="_Toc218141257"/>
      <w:bookmarkStart w:id="2453" w:name="_Toc218141976"/>
      <w:bookmarkStart w:id="2454" w:name="_Toc234326585"/>
      <w:bookmarkStart w:id="2455" w:name="_Toc213407895"/>
      <w:bookmarkStart w:id="2456" w:name="_Toc213477546"/>
      <w:bookmarkStart w:id="2457" w:name="_Toc231185214"/>
      <w:r>
        <w:rPr>
          <w:sz w:val="21"/>
          <w:szCs w:val="21"/>
        </w:rPr>
        <w:t>操作手册</w:t>
      </w:r>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p>
    <w:p w14:paraId="48E3FD29">
      <w:pPr>
        <w:pStyle w:val="5"/>
        <w:rPr>
          <w:color w:val="auto"/>
          <w:szCs w:val="21"/>
        </w:rPr>
      </w:pPr>
      <w:r>
        <w:rPr>
          <w:color w:val="auto"/>
          <w:szCs w:val="21"/>
        </w:rPr>
        <w:t>操作手册是为运营操作及设备维护人员在</w:t>
      </w:r>
      <w:r>
        <w:rPr>
          <w:rFonts w:hint="eastAsia"/>
          <w:color w:val="auto"/>
          <w:szCs w:val="21"/>
          <w:lang w:val="en-US"/>
        </w:rPr>
        <w:t>本项目建设</w:t>
      </w:r>
      <w:r>
        <w:rPr>
          <w:rFonts w:hint="eastAsia"/>
          <w:color w:val="auto"/>
          <w:szCs w:val="21"/>
        </w:rPr>
        <w:t>系统</w:t>
      </w:r>
      <w:r>
        <w:rPr>
          <w:color w:val="auto"/>
          <w:szCs w:val="21"/>
        </w:rPr>
        <w:t>的操作和检查时提供的指导文件。</w:t>
      </w:r>
    </w:p>
    <w:p w14:paraId="755C7493">
      <w:pPr>
        <w:pStyle w:val="5"/>
        <w:rPr>
          <w:color w:val="auto"/>
          <w:szCs w:val="21"/>
        </w:rPr>
      </w:pPr>
      <w:r>
        <w:rPr>
          <w:color w:val="auto"/>
          <w:szCs w:val="21"/>
        </w:rPr>
        <w:t>操作手册应至少包括以下内容：</w:t>
      </w:r>
    </w:p>
    <w:p w14:paraId="666B02C2">
      <w:pPr>
        <w:widowControl/>
        <w:numPr>
          <w:ilvl w:val="0"/>
          <w:numId w:val="38"/>
        </w:numPr>
        <w:tabs>
          <w:tab w:val="left" w:pos="1486"/>
        </w:tabs>
        <w:adjustRightInd w:val="0"/>
        <w:snapToGrid w:val="0"/>
        <w:ind w:left="1378"/>
        <w:rPr>
          <w:sz w:val="21"/>
          <w:szCs w:val="21"/>
        </w:rPr>
      </w:pPr>
      <w:r>
        <w:rPr>
          <w:rFonts w:hint="eastAsia"/>
          <w:sz w:val="21"/>
          <w:szCs w:val="21"/>
          <w:lang w:eastAsia="zh-CN"/>
        </w:rPr>
        <w:t>管理云平台</w:t>
      </w:r>
      <w:r>
        <w:rPr>
          <w:rFonts w:hint="eastAsia"/>
          <w:sz w:val="21"/>
          <w:szCs w:val="21"/>
        </w:rPr>
        <w:t>及相关系统</w:t>
      </w:r>
      <w:r>
        <w:rPr>
          <w:sz w:val="21"/>
          <w:szCs w:val="21"/>
        </w:rPr>
        <w:t>概述；</w:t>
      </w:r>
    </w:p>
    <w:p w14:paraId="2C3D6A82">
      <w:pPr>
        <w:widowControl/>
        <w:numPr>
          <w:ilvl w:val="0"/>
          <w:numId w:val="38"/>
        </w:numPr>
        <w:tabs>
          <w:tab w:val="left" w:pos="1486"/>
        </w:tabs>
        <w:adjustRightInd w:val="0"/>
        <w:snapToGrid w:val="0"/>
        <w:ind w:left="1378"/>
        <w:rPr>
          <w:sz w:val="21"/>
          <w:szCs w:val="21"/>
        </w:rPr>
      </w:pPr>
      <w:r>
        <w:rPr>
          <w:sz w:val="21"/>
          <w:szCs w:val="21"/>
        </w:rPr>
        <w:t>主要功能说明；</w:t>
      </w:r>
    </w:p>
    <w:p w14:paraId="43DC216E">
      <w:pPr>
        <w:widowControl/>
        <w:numPr>
          <w:ilvl w:val="0"/>
          <w:numId w:val="38"/>
        </w:numPr>
        <w:tabs>
          <w:tab w:val="left" w:pos="1486"/>
        </w:tabs>
        <w:adjustRightInd w:val="0"/>
        <w:snapToGrid w:val="0"/>
        <w:ind w:left="1378"/>
        <w:rPr>
          <w:sz w:val="21"/>
          <w:szCs w:val="21"/>
        </w:rPr>
      </w:pPr>
      <w:r>
        <w:rPr>
          <w:sz w:val="21"/>
          <w:szCs w:val="21"/>
        </w:rPr>
        <w:t>操作指南；</w:t>
      </w:r>
    </w:p>
    <w:p w14:paraId="2339670B">
      <w:pPr>
        <w:widowControl/>
        <w:numPr>
          <w:ilvl w:val="0"/>
          <w:numId w:val="38"/>
        </w:numPr>
        <w:tabs>
          <w:tab w:val="left" w:pos="1486"/>
        </w:tabs>
        <w:adjustRightInd w:val="0"/>
        <w:snapToGrid w:val="0"/>
        <w:ind w:left="1378"/>
        <w:rPr>
          <w:sz w:val="21"/>
          <w:szCs w:val="21"/>
        </w:rPr>
      </w:pPr>
      <w:r>
        <w:rPr>
          <w:sz w:val="21"/>
          <w:szCs w:val="21"/>
        </w:rPr>
        <w:t>故障状态</w:t>
      </w:r>
      <w:r>
        <w:rPr>
          <w:rFonts w:hint="eastAsia"/>
          <w:sz w:val="21"/>
          <w:szCs w:val="21"/>
        </w:rPr>
        <w:t>；</w:t>
      </w:r>
    </w:p>
    <w:p w14:paraId="5F803072">
      <w:pPr>
        <w:widowControl/>
        <w:numPr>
          <w:ilvl w:val="0"/>
          <w:numId w:val="38"/>
        </w:numPr>
        <w:tabs>
          <w:tab w:val="left" w:pos="1486"/>
        </w:tabs>
        <w:adjustRightInd w:val="0"/>
        <w:snapToGrid w:val="0"/>
        <w:ind w:left="1378"/>
        <w:rPr>
          <w:sz w:val="21"/>
          <w:szCs w:val="21"/>
        </w:rPr>
      </w:pPr>
      <w:r>
        <w:rPr>
          <w:rFonts w:hint="eastAsia"/>
          <w:sz w:val="21"/>
          <w:szCs w:val="21"/>
        </w:rPr>
        <w:t>故障修复指南</w:t>
      </w:r>
      <w:r>
        <w:rPr>
          <w:sz w:val="21"/>
          <w:szCs w:val="21"/>
        </w:rPr>
        <w:t>。</w:t>
      </w:r>
    </w:p>
    <w:p w14:paraId="405C822C">
      <w:pPr>
        <w:pStyle w:val="5"/>
        <w:rPr>
          <w:color w:val="auto"/>
          <w:szCs w:val="21"/>
        </w:rPr>
      </w:pPr>
      <w:r>
        <w:rPr>
          <w:color w:val="auto"/>
          <w:szCs w:val="21"/>
        </w:rPr>
        <w:t>投标人提交的说明资料要对所规定的每一种设备及其如何操作予以阐述。该手册应包括所供设备配置的一般介绍，</w:t>
      </w:r>
      <w:r>
        <w:rPr>
          <w:rFonts w:hint="eastAsia"/>
          <w:color w:val="auto"/>
          <w:szCs w:val="21"/>
        </w:rPr>
        <w:t>其</w:t>
      </w:r>
      <w:r>
        <w:rPr>
          <w:color w:val="auto"/>
          <w:szCs w:val="21"/>
        </w:rPr>
        <w:t>预期用途及其主要性能参数。只要涉及到人-机界面，诸如控制台、工作台、表示/控制盘或记录器，该手册应一步一步地定义操作顺序，以说明如何使用这些界面。手册应包括足够的图解以对所有控制和显示设备识别和定位。</w:t>
      </w:r>
    </w:p>
    <w:p w14:paraId="3A561159">
      <w:pPr>
        <w:pStyle w:val="4"/>
        <w:rPr>
          <w:sz w:val="21"/>
          <w:szCs w:val="21"/>
        </w:rPr>
      </w:pPr>
      <w:bookmarkStart w:id="2458" w:name="_Toc218144962"/>
      <w:bookmarkStart w:id="2459" w:name="_Toc218147387"/>
      <w:bookmarkStart w:id="2460" w:name="_Toc214704498"/>
      <w:bookmarkStart w:id="2461" w:name="_Toc234326854"/>
      <w:bookmarkStart w:id="2462" w:name="_Toc218141977"/>
      <w:bookmarkStart w:id="2463" w:name="_Toc231185215"/>
      <w:bookmarkStart w:id="2464" w:name="_Toc215885596"/>
      <w:bookmarkStart w:id="2465" w:name="_Toc128139654"/>
      <w:bookmarkStart w:id="2466" w:name="_Toc234326050"/>
      <w:bookmarkStart w:id="2467" w:name="_Toc130291610"/>
      <w:bookmarkStart w:id="2468" w:name="_Toc218147638"/>
      <w:bookmarkStart w:id="2469" w:name="_Toc218143919"/>
      <w:bookmarkStart w:id="2470" w:name="_Toc213407896"/>
      <w:bookmarkStart w:id="2471" w:name="_Toc128140062"/>
      <w:bookmarkStart w:id="2472" w:name="_Toc213477547"/>
      <w:bookmarkStart w:id="2473" w:name="_Toc217105813"/>
      <w:bookmarkStart w:id="2474" w:name="_Toc128139373"/>
      <w:bookmarkStart w:id="2475" w:name="_Toc212872641"/>
      <w:bookmarkStart w:id="2476" w:name="_Toc19590"/>
      <w:bookmarkStart w:id="2477" w:name="_Toc1513"/>
      <w:bookmarkStart w:id="2478" w:name="_Toc212873961"/>
      <w:bookmarkStart w:id="2479" w:name="_Toc214704249"/>
      <w:bookmarkStart w:id="2480" w:name="_Toc218144209"/>
      <w:bookmarkStart w:id="2481" w:name="_Toc214704000"/>
      <w:bookmarkStart w:id="2482" w:name="_Toc128223335"/>
      <w:bookmarkStart w:id="2483" w:name="_Toc128141531"/>
      <w:bookmarkStart w:id="2484" w:name="_Toc213477301"/>
      <w:bookmarkStart w:id="2485" w:name="_Toc237702956"/>
      <w:bookmarkStart w:id="2486" w:name="_Toc290373474"/>
      <w:bookmarkStart w:id="2487" w:name="_Toc128140629"/>
      <w:bookmarkStart w:id="2488" w:name="_Toc128141054"/>
      <w:bookmarkStart w:id="2489" w:name="_Toc218144460"/>
      <w:bookmarkStart w:id="2490" w:name="_Toc218145262"/>
      <w:bookmarkStart w:id="2491" w:name="_Toc212869999"/>
      <w:bookmarkStart w:id="2492" w:name="_Toc218141726"/>
      <w:bookmarkStart w:id="2493" w:name="_Toc215889509"/>
      <w:bookmarkStart w:id="2494" w:name="_Toc218142228"/>
      <w:bookmarkStart w:id="2495" w:name="_Toc218144711"/>
      <w:bookmarkStart w:id="2496" w:name="_Toc218141258"/>
      <w:bookmarkStart w:id="2497" w:name="_Toc218143488"/>
      <w:bookmarkStart w:id="2498" w:name="_Toc234326586"/>
      <w:bookmarkStart w:id="2499" w:name="_Toc234326318"/>
      <w:bookmarkStart w:id="2500" w:name="_Toc128141232"/>
      <w:bookmarkStart w:id="2501" w:name="_Toc218145844"/>
      <w:bookmarkStart w:id="2502" w:name="_Toc212875153"/>
      <w:bookmarkStart w:id="2503" w:name="_Toc259981583"/>
      <w:bookmarkStart w:id="2504" w:name="_Toc131867939"/>
      <w:r>
        <w:rPr>
          <w:sz w:val="21"/>
          <w:szCs w:val="21"/>
        </w:rPr>
        <w:t>维修手册</w:t>
      </w:r>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p>
    <w:p w14:paraId="103AD63B">
      <w:pPr>
        <w:pStyle w:val="5"/>
        <w:rPr>
          <w:color w:val="auto"/>
          <w:szCs w:val="21"/>
        </w:rPr>
      </w:pPr>
      <w:r>
        <w:rPr>
          <w:color w:val="auto"/>
          <w:szCs w:val="21"/>
        </w:rPr>
        <w:t>维修手册是为</w:t>
      </w:r>
      <w:r>
        <w:rPr>
          <w:rFonts w:hint="eastAsia"/>
          <w:color w:val="auto"/>
          <w:szCs w:val="21"/>
        </w:rPr>
        <w:t>系统</w:t>
      </w:r>
      <w:r>
        <w:rPr>
          <w:color w:val="auto"/>
          <w:szCs w:val="21"/>
        </w:rPr>
        <w:t>维修人员的维护、检查、运营、修理和调整提供指导。</w:t>
      </w:r>
    </w:p>
    <w:p w14:paraId="56D6133B">
      <w:pPr>
        <w:pStyle w:val="5"/>
        <w:rPr>
          <w:color w:val="auto"/>
          <w:szCs w:val="21"/>
        </w:rPr>
      </w:pPr>
      <w:r>
        <w:rPr>
          <w:color w:val="auto"/>
          <w:szCs w:val="21"/>
        </w:rPr>
        <w:t>维护手册应提供给熟练的技术人员，包括设备和(子)系统的操作说明，以及日常维护和故障维修指令。</w:t>
      </w:r>
    </w:p>
    <w:p w14:paraId="4925077D">
      <w:pPr>
        <w:pStyle w:val="5"/>
        <w:rPr>
          <w:color w:val="auto"/>
          <w:szCs w:val="21"/>
        </w:rPr>
      </w:pPr>
      <w:r>
        <w:rPr>
          <w:color w:val="auto"/>
          <w:szCs w:val="21"/>
        </w:rPr>
        <w:t>操作说明应包括设备如何操作的简要介绍和方框图，配置中的主要硬件和软件程序。主要硬件和程序的操作顺序应以功能框图说明。要提供详细的逻辑和流程图，以满足故障查找分析和现场修理工作的需要。</w:t>
      </w:r>
    </w:p>
    <w:p w14:paraId="6C4399EC">
      <w:pPr>
        <w:pStyle w:val="5"/>
        <w:rPr>
          <w:color w:val="auto"/>
          <w:szCs w:val="21"/>
        </w:rPr>
      </w:pPr>
      <w:r>
        <w:rPr>
          <w:color w:val="auto"/>
          <w:szCs w:val="21"/>
        </w:rPr>
        <w:t>维修手册应对</w:t>
      </w:r>
      <w:r>
        <w:rPr>
          <w:rFonts w:hint="eastAsia"/>
          <w:color w:val="auto"/>
          <w:szCs w:val="21"/>
        </w:rPr>
        <w:t>系统</w:t>
      </w:r>
      <w:r>
        <w:rPr>
          <w:color w:val="auto"/>
          <w:szCs w:val="21"/>
        </w:rPr>
        <w:t>各级检修的内容、要求、方法、程序、设备、工具、材料等方面作出详细的说明；对主要的故障部件的更换、调整和测试也要作出详细的说明。</w:t>
      </w:r>
    </w:p>
    <w:p w14:paraId="234A5AFE">
      <w:pPr>
        <w:pStyle w:val="5"/>
        <w:rPr>
          <w:color w:val="auto"/>
          <w:szCs w:val="21"/>
        </w:rPr>
      </w:pPr>
      <w:r>
        <w:rPr>
          <w:color w:val="auto"/>
          <w:szCs w:val="21"/>
        </w:rPr>
        <w:t>对于需要使用便携式测试仪工作的，还应包括其调整方面的内容。</w:t>
      </w:r>
    </w:p>
    <w:p w14:paraId="114C0D63">
      <w:pPr>
        <w:pStyle w:val="5"/>
        <w:rPr>
          <w:color w:val="auto"/>
          <w:szCs w:val="21"/>
        </w:rPr>
      </w:pPr>
      <w:r>
        <w:rPr>
          <w:color w:val="auto"/>
          <w:szCs w:val="21"/>
        </w:rPr>
        <w:t>维修手册的日常维护说明应包括所有设备定期维护适用的直观检查、软件和硬件测试、诊断程序和所需调整。关于如何安装和运行测试、诊断程序，如何使用专用或通用的测试设备的说明应做为日常维护说明的一个整体部分。</w:t>
      </w:r>
    </w:p>
    <w:p w14:paraId="5CF2AB31">
      <w:pPr>
        <w:pStyle w:val="5"/>
        <w:rPr>
          <w:color w:val="auto"/>
          <w:szCs w:val="21"/>
        </w:rPr>
      </w:pPr>
      <w:r>
        <w:rPr>
          <w:color w:val="auto"/>
          <w:szCs w:val="21"/>
        </w:rPr>
        <w:t>维修手册的故障维修说明应包括故障定位到元件级或现场修理级的指导。这些指导应包括如何快速有效地定位设备故障原因的详细说明，应说明可能的故障源、征兆、可能的原因和排除故障指令，还应说明在可能时如何使用在线测试、诊断程序和专用的测试设备。故障维修说明还应包括有关所有项目的修理、调整（校正）、替换说明，包括电路图和机电图，还应包括如何安装和运行专用的脱机诊断程序，使用工具和测试设备的说明，以及为保护人员和设备应当遵守的任何注意或警告。</w:t>
      </w:r>
    </w:p>
    <w:p w14:paraId="00521315">
      <w:pPr>
        <w:pStyle w:val="5"/>
        <w:rPr>
          <w:color w:val="auto"/>
          <w:szCs w:val="21"/>
        </w:rPr>
      </w:pPr>
      <w:r>
        <w:rPr>
          <w:color w:val="auto"/>
          <w:szCs w:val="21"/>
        </w:rPr>
        <w:t>维修手册的部件说明应表明每一可替换的或现场可修复的模块。应在元件表或图中详细标出那些可以从市场买到的任何可修复或可替换元件。这些部件应按其工业的、一般的零件号标识，如若可能应有第二种标识方式。</w:t>
      </w:r>
    </w:p>
    <w:p w14:paraId="348324F1">
      <w:pPr>
        <w:pStyle w:val="5"/>
        <w:rPr>
          <w:color w:val="auto"/>
          <w:szCs w:val="21"/>
        </w:rPr>
      </w:pPr>
      <w:r>
        <w:rPr>
          <w:color w:val="auto"/>
          <w:szCs w:val="21"/>
        </w:rPr>
        <w:t>维护报告应由用户保存，包括维护人员在所有故障维修工作中记录的数据和资料。投标人应与招标人协作，以提供合适的格式。</w:t>
      </w:r>
    </w:p>
    <w:p w14:paraId="74BFF4E2">
      <w:pPr>
        <w:pStyle w:val="4"/>
        <w:rPr>
          <w:sz w:val="21"/>
          <w:szCs w:val="21"/>
        </w:rPr>
      </w:pPr>
      <w:bookmarkStart w:id="2505" w:name="_Toc215885597"/>
      <w:bookmarkStart w:id="2506" w:name="_Toc131867940"/>
      <w:bookmarkStart w:id="2507" w:name="_Toc218143489"/>
      <w:bookmarkStart w:id="2508" w:name="_Toc218145263"/>
      <w:bookmarkStart w:id="2509" w:name="_Toc231185216"/>
      <w:bookmarkStart w:id="2510" w:name="_Toc234326855"/>
      <w:bookmarkStart w:id="2511" w:name="_Toc290373475"/>
      <w:bookmarkStart w:id="2512" w:name="_Toc218141727"/>
      <w:bookmarkStart w:id="2513" w:name="_Toc130291611"/>
      <w:bookmarkStart w:id="2514" w:name="_Toc237702957"/>
      <w:bookmarkStart w:id="2515" w:name="_Toc213477302"/>
      <w:bookmarkStart w:id="2516" w:name="_Toc259981584"/>
      <w:bookmarkStart w:id="2517" w:name="_Toc128223336"/>
      <w:bookmarkStart w:id="2518" w:name="_Toc214704250"/>
      <w:bookmarkStart w:id="2519" w:name="_Toc213407897"/>
      <w:bookmarkStart w:id="2520" w:name="_Toc212873962"/>
      <w:bookmarkStart w:id="2521" w:name="_Toc27947"/>
      <w:bookmarkStart w:id="2522" w:name="_Toc217105814"/>
      <w:bookmarkStart w:id="2523" w:name="_Toc128139655"/>
      <w:bookmarkStart w:id="2524" w:name="_Toc128140063"/>
      <w:bookmarkStart w:id="2525" w:name="_Toc218141259"/>
      <w:bookmarkStart w:id="2526" w:name="_Toc218145845"/>
      <w:bookmarkStart w:id="2527" w:name="_Toc20592"/>
      <w:bookmarkStart w:id="2528" w:name="_Toc234326319"/>
      <w:bookmarkStart w:id="2529" w:name="_Toc214704001"/>
      <w:bookmarkStart w:id="2530" w:name="_Toc212875154"/>
      <w:bookmarkStart w:id="2531" w:name="_Toc212870000"/>
      <w:bookmarkStart w:id="2532" w:name="_Toc234326051"/>
      <w:bookmarkStart w:id="2533" w:name="_Toc218144963"/>
      <w:bookmarkStart w:id="2534" w:name="_Toc234326587"/>
      <w:bookmarkStart w:id="2535" w:name="_Toc218147388"/>
      <w:bookmarkStart w:id="2536" w:name="_Toc128140630"/>
      <w:bookmarkStart w:id="2537" w:name="_Toc218147639"/>
      <w:bookmarkStart w:id="2538" w:name="_Toc214704499"/>
      <w:bookmarkStart w:id="2539" w:name="_Toc218144712"/>
      <w:bookmarkStart w:id="2540" w:name="_Toc218141978"/>
      <w:bookmarkStart w:id="2541" w:name="_Toc218144461"/>
      <w:bookmarkStart w:id="2542" w:name="_Toc128141055"/>
      <w:bookmarkStart w:id="2543" w:name="_Toc215889510"/>
      <w:bookmarkStart w:id="2544" w:name="_Toc218143920"/>
      <w:bookmarkStart w:id="2545" w:name="_Toc218144210"/>
      <w:bookmarkStart w:id="2546" w:name="_Toc213477548"/>
      <w:bookmarkStart w:id="2547" w:name="_Toc128141233"/>
      <w:bookmarkStart w:id="2548" w:name="_Toc212872642"/>
      <w:bookmarkStart w:id="2549" w:name="_Toc128139374"/>
      <w:bookmarkStart w:id="2550" w:name="_Toc218142229"/>
      <w:bookmarkStart w:id="2551" w:name="_Toc128141532"/>
      <w:r>
        <w:rPr>
          <w:sz w:val="21"/>
          <w:szCs w:val="21"/>
        </w:rPr>
        <w:t>最终技术文件</w:t>
      </w:r>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p>
    <w:p w14:paraId="4D2579D8">
      <w:pPr>
        <w:pStyle w:val="5"/>
        <w:rPr>
          <w:color w:val="auto"/>
          <w:szCs w:val="21"/>
        </w:rPr>
      </w:pPr>
      <w:r>
        <w:rPr>
          <w:color w:val="auto"/>
          <w:szCs w:val="21"/>
        </w:rPr>
        <w:t>该文件应包括所供系统的最终技术参数，应清晰地规定所有(子)系统要求的硬件和软件，并取得投标人和招标人的确认。</w:t>
      </w:r>
    </w:p>
    <w:p w14:paraId="6197A0DE">
      <w:pPr>
        <w:pStyle w:val="5"/>
        <w:rPr>
          <w:color w:val="auto"/>
          <w:szCs w:val="21"/>
        </w:rPr>
      </w:pPr>
      <w:r>
        <w:rPr>
          <w:color w:val="auto"/>
          <w:szCs w:val="21"/>
        </w:rPr>
        <w:t>该文件应包括但不限于下列内容：</w:t>
      </w:r>
    </w:p>
    <w:p w14:paraId="38C9973C">
      <w:pPr>
        <w:widowControl/>
        <w:numPr>
          <w:ilvl w:val="0"/>
          <w:numId w:val="38"/>
        </w:numPr>
        <w:tabs>
          <w:tab w:val="left" w:pos="1486"/>
        </w:tabs>
        <w:adjustRightInd w:val="0"/>
        <w:snapToGrid w:val="0"/>
        <w:rPr>
          <w:sz w:val="21"/>
          <w:szCs w:val="21"/>
        </w:rPr>
      </w:pPr>
      <w:r>
        <w:rPr>
          <w:rFonts w:hint="eastAsia"/>
          <w:sz w:val="21"/>
          <w:szCs w:val="21"/>
        </w:rPr>
        <w:t>系统</w:t>
      </w:r>
      <w:r>
        <w:rPr>
          <w:sz w:val="21"/>
          <w:szCs w:val="21"/>
        </w:rPr>
        <w:t>总说明；</w:t>
      </w:r>
    </w:p>
    <w:p w14:paraId="74CA8843">
      <w:pPr>
        <w:widowControl/>
        <w:numPr>
          <w:ilvl w:val="0"/>
          <w:numId w:val="38"/>
        </w:numPr>
        <w:tabs>
          <w:tab w:val="left" w:pos="1486"/>
        </w:tabs>
        <w:adjustRightInd w:val="0"/>
        <w:snapToGrid w:val="0"/>
        <w:ind w:left="1378"/>
        <w:rPr>
          <w:sz w:val="21"/>
          <w:szCs w:val="21"/>
        </w:rPr>
      </w:pPr>
      <w:r>
        <w:rPr>
          <w:rFonts w:hint="eastAsia"/>
          <w:sz w:val="21"/>
          <w:szCs w:val="21"/>
        </w:rPr>
        <w:t>系统</w:t>
      </w:r>
      <w:r>
        <w:rPr>
          <w:sz w:val="21"/>
          <w:szCs w:val="21"/>
        </w:rPr>
        <w:t>构成</w:t>
      </w:r>
      <w:r>
        <w:rPr>
          <w:rFonts w:hint="eastAsia"/>
          <w:sz w:val="21"/>
          <w:szCs w:val="21"/>
        </w:rPr>
        <w:t>详图</w:t>
      </w:r>
      <w:r>
        <w:rPr>
          <w:sz w:val="21"/>
          <w:szCs w:val="21"/>
        </w:rPr>
        <w:t>；</w:t>
      </w:r>
    </w:p>
    <w:p w14:paraId="0503B5B6">
      <w:pPr>
        <w:widowControl/>
        <w:numPr>
          <w:ilvl w:val="0"/>
          <w:numId w:val="38"/>
        </w:numPr>
        <w:tabs>
          <w:tab w:val="left" w:pos="1486"/>
        </w:tabs>
        <w:adjustRightInd w:val="0"/>
        <w:snapToGrid w:val="0"/>
        <w:ind w:left="1378"/>
        <w:rPr>
          <w:sz w:val="21"/>
          <w:szCs w:val="21"/>
        </w:rPr>
      </w:pPr>
      <w:r>
        <w:rPr>
          <w:sz w:val="21"/>
          <w:szCs w:val="21"/>
        </w:rPr>
        <w:t>功能详细描述；</w:t>
      </w:r>
    </w:p>
    <w:p w14:paraId="7A358B12">
      <w:pPr>
        <w:widowControl/>
        <w:numPr>
          <w:ilvl w:val="0"/>
          <w:numId w:val="38"/>
        </w:numPr>
        <w:tabs>
          <w:tab w:val="left" w:pos="1486"/>
        </w:tabs>
        <w:adjustRightInd w:val="0"/>
        <w:snapToGrid w:val="0"/>
        <w:ind w:left="1378"/>
        <w:rPr>
          <w:sz w:val="21"/>
          <w:szCs w:val="21"/>
        </w:rPr>
      </w:pPr>
      <w:r>
        <w:rPr>
          <w:sz w:val="21"/>
          <w:szCs w:val="21"/>
        </w:rPr>
        <w:t>技术参数；</w:t>
      </w:r>
    </w:p>
    <w:p w14:paraId="206A03EE">
      <w:pPr>
        <w:widowControl/>
        <w:numPr>
          <w:ilvl w:val="0"/>
          <w:numId w:val="38"/>
        </w:numPr>
        <w:tabs>
          <w:tab w:val="left" w:pos="1486"/>
        </w:tabs>
        <w:adjustRightInd w:val="0"/>
        <w:snapToGrid w:val="0"/>
        <w:ind w:left="1378"/>
        <w:rPr>
          <w:sz w:val="21"/>
          <w:szCs w:val="21"/>
        </w:rPr>
      </w:pPr>
      <w:r>
        <w:rPr>
          <w:sz w:val="21"/>
          <w:szCs w:val="21"/>
        </w:rPr>
        <w:t>设备</w:t>
      </w:r>
      <w:r>
        <w:rPr>
          <w:rFonts w:hint="eastAsia"/>
          <w:sz w:val="21"/>
          <w:szCs w:val="21"/>
          <w:lang w:eastAsia="zh-CN"/>
        </w:rPr>
        <w:t>部署</w:t>
      </w:r>
      <w:r>
        <w:rPr>
          <w:sz w:val="21"/>
          <w:szCs w:val="21"/>
        </w:rPr>
        <w:t>；</w:t>
      </w:r>
    </w:p>
    <w:p w14:paraId="6E6A6DFF">
      <w:pPr>
        <w:widowControl/>
        <w:numPr>
          <w:ilvl w:val="0"/>
          <w:numId w:val="38"/>
        </w:numPr>
        <w:tabs>
          <w:tab w:val="left" w:pos="1486"/>
        </w:tabs>
        <w:adjustRightInd w:val="0"/>
        <w:snapToGrid w:val="0"/>
        <w:ind w:left="1378"/>
        <w:rPr>
          <w:sz w:val="21"/>
          <w:szCs w:val="21"/>
        </w:rPr>
      </w:pPr>
      <w:r>
        <w:rPr>
          <w:rFonts w:hint="eastAsia"/>
          <w:sz w:val="21"/>
          <w:szCs w:val="21"/>
          <w:lang w:eastAsia="zh-CN"/>
        </w:rPr>
        <w:t>布线</w:t>
      </w:r>
      <w:r>
        <w:rPr>
          <w:rFonts w:hint="eastAsia"/>
          <w:sz w:val="21"/>
          <w:szCs w:val="21"/>
        </w:rPr>
        <w:t>图及台账。</w:t>
      </w:r>
    </w:p>
    <w:p w14:paraId="0D4ED808">
      <w:pPr>
        <w:pStyle w:val="4"/>
        <w:rPr>
          <w:sz w:val="21"/>
          <w:szCs w:val="21"/>
        </w:rPr>
      </w:pPr>
      <w:bookmarkStart w:id="2552" w:name="_Toc272569964"/>
      <w:bookmarkStart w:id="2553" w:name="_Toc272570996"/>
      <w:bookmarkStart w:id="2554" w:name="_Toc275187352"/>
      <w:bookmarkStart w:id="2555" w:name="_Toc273350213"/>
      <w:bookmarkStart w:id="2556" w:name="_Toc272568866"/>
      <w:bookmarkStart w:id="2557" w:name="_Toc272569691"/>
      <w:bookmarkStart w:id="2558" w:name="_Toc272571832"/>
      <w:bookmarkStart w:id="2559" w:name="_Toc272571287"/>
      <w:bookmarkStart w:id="2560" w:name="_Toc275877190"/>
      <w:bookmarkStart w:id="2561" w:name="_Toc277752428"/>
      <w:bookmarkStart w:id="2562" w:name="_Toc272670289"/>
      <w:bookmarkStart w:id="2563" w:name="_Toc274551673"/>
      <w:bookmarkStart w:id="2564" w:name="_Toc272573464"/>
      <w:bookmarkStart w:id="2565" w:name="_Toc2148"/>
      <w:bookmarkStart w:id="2566" w:name="_Toc272572104"/>
      <w:bookmarkStart w:id="2567" w:name="_Toc272568591"/>
      <w:bookmarkStart w:id="2568" w:name="_Toc272569416"/>
      <w:bookmarkStart w:id="2569" w:name="_Toc272573737"/>
      <w:bookmarkStart w:id="2570" w:name="_Toc278137963"/>
      <w:bookmarkStart w:id="2571" w:name="_Toc272571559"/>
      <w:bookmarkStart w:id="2572" w:name="_Toc277242447"/>
      <w:bookmarkStart w:id="2573" w:name="_Toc274059465"/>
      <w:bookmarkStart w:id="2574" w:name="_Toc273349936"/>
      <w:bookmarkStart w:id="2575" w:name="_Toc272569141"/>
      <w:bookmarkStart w:id="2576" w:name="_Toc272573192"/>
      <w:bookmarkStart w:id="2577" w:name="_Toc272572648"/>
      <w:bookmarkStart w:id="2578" w:name="_Toc272572920"/>
      <w:bookmarkStart w:id="2579" w:name="_Toc272568069"/>
      <w:bookmarkStart w:id="2580" w:name="_Toc272572376"/>
      <w:bookmarkStart w:id="2581" w:name="_Toc272575767"/>
      <w:bookmarkStart w:id="2582" w:name="_Toc275260866"/>
      <w:bookmarkStart w:id="2583" w:name="_Toc272570236"/>
      <w:bookmarkStart w:id="2584" w:name="_Toc272669630"/>
      <w:bookmarkStart w:id="2585" w:name="_Toc22040"/>
      <w:r>
        <w:rPr>
          <w:rFonts w:hint="eastAsia"/>
          <w:sz w:val="21"/>
          <w:szCs w:val="21"/>
        </w:rPr>
        <w:t>说明</w:t>
      </w:r>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p>
    <w:p w14:paraId="55DE937A">
      <w:pPr>
        <w:ind w:firstLine="435"/>
        <w:rPr>
          <w:bCs/>
          <w:sz w:val="21"/>
          <w:szCs w:val="21"/>
        </w:rPr>
      </w:pPr>
      <w:r>
        <w:rPr>
          <w:rFonts w:hint="eastAsia"/>
          <w:bCs/>
          <w:sz w:val="21"/>
          <w:szCs w:val="21"/>
        </w:rPr>
        <w:t>以上所有要求提交的文件的格式、份数等内容皆为暂定，招标人有权根据实际需要进</w:t>
      </w:r>
    </w:p>
    <w:p w14:paraId="7F0CCC5F">
      <w:pPr>
        <w:ind w:firstLine="435"/>
        <w:rPr>
          <w:bCs/>
          <w:sz w:val="21"/>
          <w:szCs w:val="21"/>
        </w:rPr>
      </w:pPr>
      <w:r>
        <w:rPr>
          <w:rFonts w:hint="eastAsia"/>
          <w:bCs/>
          <w:sz w:val="21"/>
          <w:szCs w:val="21"/>
        </w:rPr>
        <w:t>行调整，投标人需无条件满足招标人的要求。在项目执行期间，当招标人需要增加图</w:t>
      </w:r>
    </w:p>
    <w:p w14:paraId="118504E9">
      <w:pPr>
        <w:ind w:firstLine="435"/>
        <w:rPr>
          <w:sz w:val="21"/>
          <w:szCs w:val="21"/>
        </w:rPr>
      </w:pPr>
      <w:r>
        <w:rPr>
          <w:rFonts w:hint="eastAsia"/>
          <w:bCs/>
          <w:sz w:val="21"/>
          <w:szCs w:val="21"/>
        </w:rPr>
        <w:t>纸及资料的份数时，投标人应无偿提供。</w:t>
      </w:r>
    </w:p>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p w14:paraId="1DBCCA94">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2586" w:name="_Toc214704505"/>
      <w:bookmarkStart w:id="2587" w:name="_Toc213477554"/>
      <w:bookmarkStart w:id="2588" w:name="_Toc212870006"/>
      <w:bookmarkStart w:id="2589" w:name="_Toc234326861"/>
      <w:bookmarkStart w:id="2590" w:name="_Toc128140636"/>
      <w:bookmarkStart w:id="2591" w:name="_Toc130291617"/>
      <w:bookmarkStart w:id="2592" w:name="_Toc131867946"/>
      <w:bookmarkStart w:id="2593" w:name="_Toc128138139"/>
      <w:bookmarkStart w:id="2594" w:name="_Toc128141061"/>
      <w:bookmarkStart w:id="2595" w:name="_Toc128141538"/>
      <w:bookmarkStart w:id="2596" w:name="_Toc215885603"/>
      <w:bookmarkStart w:id="2597" w:name="_Toc17434"/>
      <w:bookmarkStart w:id="2598" w:name="_Toc218143926"/>
      <w:bookmarkStart w:id="2599" w:name="_Toc218141984"/>
      <w:bookmarkStart w:id="2600" w:name="_Toc218141733"/>
      <w:bookmarkStart w:id="2601" w:name="_Toc212875160"/>
      <w:bookmarkStart w:id="2602" w:name="_Toc217105820"/>
      <w:bookmarkStart w:id="2603" w:name="_Toc128138756"/>
      <w:bookmarkStart w:id="2604" w:name="_Toc128138385"/>
      <w:bookmarkStart w:id="2605" w:name="_Toc213406577"/>
      <w:bookmarkStart w:id="2606" w:name="_Toc128223342"/>
      <w:bookmarkStart w:id="2607" w:name="_Toc17711"/>
      <w:bookmarkStart w:id="2608" w:name="_Toc234326057"/>
      <w:bookmarkStart w:id="2609" w:name="_Toc128122972"/>
      <w:bookmarkStart w:id="2610" w:name="_Toc218144467"/>
      <w:bookmarkStart w:id="2611" w:name="_Toc222816890"/>
      <w:bookmarkStart w:id="2612" w:name="_Toc128121002"/>
      <w:bookmarkStart w:id="2613" w:name="_Toc237702963"/>
      <w:bookmarkStart w:id="2614" w:name="_Toc214704007"/>
      <w:bookmarkStart w:id="2615" w:name="_Toc234325813"/>
      <w:bookmarkStart w:id="2616" w:name="_Toc128140069"/>
      <w:bookmarkStart w:id="2617" w:name="_Toc218142235"/>
      <w:bookmarkStart w:id="2618" w:name="_Toc128139661"/>
      <w:bookmarkStart w:id="2619" w:name="_Toc218147394"/>
      <w:bookmarkStart w:id="2620" w:name="_Toc213477308"/>
      <w:bookmarkStart w:id="2621" w:name="_Toc218145269"/>
      <w:bookmarkStart w:id="2622" w:name="_Toc128141239"/>
      <w:bookmarkStart w:id="2623" w:name="_Toc214704256"/>
      <w:bookmarkStart w:id="2624" w:name="_Toc218144718"/>
      <w:bookmarkStart w:id="2625" w:name="_Toc128137877"/>
      <w:bookmarkStart w:id="2626" w:name="_Toc128139380"/>
      <w:bookmarkStart w:id="2627" w:name="_Toc234326325"/>
      <w:bookmarkStart w:id="2628" w:name="_Toc290373477"/>
      <w:bookmarkStart w:id="2629" w:name="_Toc218144216"/>
      <w:bookmarkStart w:id="2630" w:name="_Toc130876964"/>
      <w:bookmarkStart w:id="2631" w:name="_Toc213407903"/>
      <w:bookmarkStart w:id="2632" w:name="_Toc231185222"/>
      <w:bookmarkStart w:id="2633" w:name="_Toc259981590"/>
      <w:bookmarkStart w:id="2634" w:name="_Toc128137461"/>
      <w:bookmarkStart w:id="2635" w:name="_Toc212872648"/>
      <w:bookmarkStart w:id="2636" w:name="_Toc218145851"/>
      <w:bookmarkStart w:id="2637" w:name="_Toc128121086"/>
      <w:bookmarkStart w:id="2638" w:name="_Toc212873968"/>
      <w:bookmarkStart w:id="2639" w:name="_Toc218143495"/>
      <w:bookmarkStart w:id="2640" w:name="_Toc128139167"/>
      <w:bookmarkStart w:id="2641" w:name="_Toc218141265"/>
      <w:bookmarkStart w:id="2642" w:name="_Toc234326593"/>
      <w:bookmarkStart w:id="2643" w:name="_Toc215889516"/>
      <w:bookmarkStart w:id="2644" w:name="_Toc218144969"/>
      <w:bookmarkStart w:id="2645" w:name="_Toc218147645"/>
      <w:bookmarkStart w:id="2646" w:name="_Toc212870013"/>
      <w:bookmarkStart w:id="2647" w:name="_Toc212875167"/>
      <w:bookmarkStart w:id="2648" w:name="_Toc128140076"/>
      <w:bookmarkStart w:id="2649" w:name="_Toc213477561"/>
      <w:bookmarkStart w:id="2650" w:name="_Toc131867953"/>
      <w:bookmarkStart w:id="2651" w:name="_Toc128138146"/>
      <w:bookmarkStart w:id="2652" w:name="_Toc213477315"/>
      <w:bookmarkStart w:id="2653" w:name="_Toc212873975"/>
      <w:bookmarkStart w:id="2654" w:name="_Toc128138763"/>
      <w:bookmarkStart w:id="2655" w:name="_Toc128121009"/>
      <w:bookmarkStart w:id="2656" w:name="_Toc213407910"/>
      <w:bookmarkStart w:id="2657" w:name="_Toc213406578"/>
      <w:bookmarkStart w:id="2658" w:name="_Toc130291624"/>
      <w:bookmarkStart w:id="2659" w:name="_Toc128137468"/>
      <w:bookmarkStart w:id="2660" w:name="_Toc128122979"/>
      <w:bookmarkStart w:id="2661" w:name="_Toc128223349"/>
      <w:bookmarkStart w:id="2662" w:name="_Toc128137884"/>
      <w:bookmarkStart w:id="2663" w:name="_Toc212872655"/>
      <w:bookmarkStart w:id="2664" w:name="_Toc128139668"/>
      <w:bookmarkStart w:id="2665" w:name="_Toc128140643"/>
      <w:bookmarkStart w:id="2666" w:name="_Toc128139387"/>
      <w:bookmarkStart w:id="2667" w:name="_Toc128139174"/>
      <w:bookmarkStart w:id="2668" w:name="_Toc128138392"/>
      <w:bookmarkStart w:id="2669" w:name="_Toc128141068"/>
      <w:bookmarkStart w:id="2670" w:name="_Toc128141545"/>
      <w:bookmarkStart w:id="2671" w:name="_Toc128141246"/>
      <w:r>
        <w:rPr>
          <w:rFonts w:ascii="Times New Roman" w:hAnsi="Times New Roman" w:eastAsia="宋体"/>
          <w:b/>
          <w:bCs/>
          <w:sz w:val="21"/>
          <w:szCs w:val="21"/>
        </w:rPr>
        <w:t>培训</w:t>
      </w:r>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p>
    <w:p w14:paraId="1486F91D">
      <w:pPr>
        <w:pStyle w:val="4"/>
        <w:rPr>
          <w:sz w:val="21"/>
          <w:szCs w:val="21"/>
        </w:rPr>
      </w:pPr>
      <w:bookmarkStart w:id="2672" w:name="_Toc218144719"/>
      <w:bookmarkStart w:id="2673" w:name="_Toc214704506"/>
      <w:bookmarkStart w:id="2674" w:name="_Toc218144970"/>
      <w:bookmarkStart w:id="2675" w:name="_Toc212872649"/>
      <w:bookmarkStart w:id="2676" w:name="_Toc237702964"/>
      <w:bookmarkStart w:id="2677" w:name="_Toc128140637"/>
      <w:bookmarkStart w:id="2678" w:name="_Toc128137462"/>
      <w:bookmarkStart w:id="2679" w:name="_Toc234326594"/>
      <w:bookmarkStart w:id="2680" w:name="_Toc212870007"/>
      <w:bookmarkStart w:id="2681" w:name="_Toc128141062"/>
      <w:bookmarkStart w:id="2682" w:name="_Toc218147395"/>
      <w:bookmarkStart w:id="2683" w:name="_Toc128223343"/>
      <w:bookmarkStart w:id="2684" w:name="_Toc218144468"/>
      <w:bookmarkStart w:id="2685" w:name="_Toc215889517"/>
      <w:bookmarkStart w:id="2686" w:name="_Toc218142236"/>
      <w:bookmarkStart w:id="2687" w:name="_Toc218143496"/>
      <w:bookmarkStart w:id="2688" w:name="_Toc218143927"/>
      <w:bookmarkStart w:id="2689" w:name="_Toc213407904"/>
      <w:bookmarkStart w:id="2690" w:name="_Toc4507"/>
      <w:bookmarkStart w:id="2691" w:name="_Toc290373478"/>
      <w:bookmarkStart w:id="2692" w:name="_Toc128141240"/>
      <w:bookmarkStart w:id="2693" w:name="_Toc128138386"/>
      <w:bookmarkStart w:id="2694" w:name="_Toc128140070"/>
      <w:bookmarkStart w:id="2695" w:name="_Toc218145852"/>
      <w:bookmarkStart w:id="2696" w:name="_Toc218141266"/>
      <w:bookmarkStart w:id="2697" w:name="_Toc12559"/>
      <w:bookmarkStart w:id="2698" w:name="_Toc213477555"/>
      <w:bookmarkStart w:id="2699" w:name="_Toc128137878"/>
      <w:bookmarkStart w:id="2700" w:name="_Toc218141985"/>
      <w:bookmarkStart w:id="2701" w:name="_Toc212873969"/>
      <w:bookmarkStart w:id="2702" w:name="_Toc128138757"/>
      <w:bookmarkStart w:id="2703" w:name="_Toc128141539"/>
      <w:bookmarkStart w:id="2704" w:name="_Toc213477309"/>
      <w:bookmarkStart w:id="2705" w:name="_Toc214704257"/>
      <w:bookmarkStart w:id="2706" w:name="_Toc128139168"/>
      <w:bookmarkStart w:id="2707" w:name="_Toc231185223"/>
      <w:bookmarkStart w:id="2708" w:name="_Toc234326058"/>
      <w:bookmarkStart w:id="2709" w:name="_Toc128139381"/>
      <w:bookmarkStart w:id="2710" w:name="_Toc131867947"/>
      <w:bookmarkStart w:id="2711" w:name="_Toc128122973"/>
      <w:bookmarkStart w:id="2712" w:name="_Toc128138140"/>
      <w:bookmarkStart w:id="2713" w:name="_Toc130291618"/>
      <w:bookmarkStart w:id="2714" w:name="_Toc218144217"/>
      <w:bookmarkStart w:id="2715" w:name="_Toc234326326"/>
      <w:bookmarkStart w:id="2716" w:name="_Toc234326862"/>
      <w:bookmarkStart w:id="2717" w:name="_Toc214704008"/>
      <w:bookmarkStart w:id="2718" w:name="_Toc212875161"/>
      <w:bookmarkStart w:id="2719" w:name="_Toc218147646"/>
      <w:bookmarkStart w:id="2720" w:name="_Toc218145270"/>
      <w:bookmarkStart w:id="2721" w:name="_Toc215885604"/>
      <w:bookmarkStart w:id="2722" w:name="_Toc218141734"/>
      <w:bookmarkStart w:id="2723" w:name="_Toc259981591"/>
      <w:bookmarkStart w:id="2724" w:name="_Toc128121003"/>
      <w:bookmarkStart w:id="2725" w:name="_Toc217105821"/>
      <w:r>
        <w:rPr>
          <w:sz w:val="21"/>
          <w:szCs w:val="21"/>
        </w:rPr>
        <w:t>培训目的</w:t>
      </w:r>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p>
    <w:p w14:paraId="7FC599AF">
      <w:pPr>
        <w:pStyle w:val="5"/>
        <w:rPr>
          <w:color w:val="auto"/>
          <w:szCs w:val="21"/>
        </w:rPr>
      </w:pPr>
      <w:r>
        <w:rPr>
          <w:color w:val="auto"/>
          <w:szCs w:val="21"/>
        </w:rPr>
        <w:t>维护人员能够熟练掌握软件、硬件的维护工作，并能处理设备故障。</w:t>
      </w:r>
    </w:p>
    <w:p w14:paraId="47090B97">
      <w:pPr>
        <w:pStyle w:val="5"/>
        <w:rPr>
          <w:color w:val="auto"/>
          <w:szCs w:val="21"/>
        </w:rPr>
      </w:pPr>
      <w:r>
        <w:rPr>
          <w:color w:val="auto"/>
          <w:szCs w:val="21"/>
        </w:rPr>
        <w:t>维护人员应能负责相应的技术管理工作，掌握软件的操作，熟悉硬件的功能，并能掌握组织、扩建网络/系统业务的能力。</w:t>
      </w:r>
    </w:p>
    <w:p w14:paraId="28301074">
      <w:pPr>
        <w:pStyle w:val="4"/>
        <w:rPr>
          <w:sz w:val="21"/>
          <w:szCs w:val="21"/>
        </w:rPr>
      </w:pPr>
      <w:bookmarkStart w:id="2726" w:name="_Toc272572656"/>
      <w:bookmarkStart w:id="2727" w:name="_Toc272571018"/>
      <w:bookmarkStart w:id="2728" w:name="_Toc272570244"/>
      <w:bookmarkStart w:id="2729" w:name="_Toc272669638"/>
      <w:bookmarkStart w:id="2730" w:name="_Toc272571295"/>
      <w:bookmarkStart w:id="2731" w:name="_Toc26990"/>
      <w:bookmarkStart w:id="2732" w:name="_Toc272569149"/>
      <w:bookmarkStart w:id="2733" w:name="_Toc272572112"/>
      <w:bookmarkStart w:id="2734" w:name="_Toc273350221"/>
      <w:bookmarkStart w:id="2735" w:name="_Toc272573745"/>
      <w:bookmarkStart w:id="2736" w:name="_Toc272571840"/>
      <w:bookmarkStart w:id="2737" w:name="_Toc272569424"/>
      <w:bookmarkStart w:id="2738" w:name="_Toc272670297"/>
      <w:bookmarkStart w:id="2739" w:name="_Toc22877"/>
      <w:bookmarkStart w:id="2740" w:name="_Toc272571567"/>
      <w:bookmarkStart w:id="2741" w:name="_Toc277752436"/>
      <w:bookmarkStart w:id="2742" w:name="_Toc272568077"/>
      <w:bookmarkStart w:id="2743" w:name="_Toc272573472"/>
      <w:bookmarkStart w:id="2744" w:name="_Toc278137971"/>
      <w:bookmarkStart w:id="2745" w:name="_Toc273349944"/>
      <w:bookmarkStart w:id="2746" w:name="_Toc274059473"/>
      <w:bookmarkStart w:id="2747" w:name="_Toc275260874"/>
      <w:bookmarkStart w:id="2748" w:name="_Toc272575775"/>
      <w:bookmarkStart w:id="2749" w:name="_Toc275187360"/>
      <w:bookmarkStart w:id="2750" w:name="_Toc272569699"/>
      <w:bookmarkStart w:id="2751" w:name="_Toc272568874"/>
      <w:bookmarkStart w:id="2752" w:name="_Toc275877198"/>
      <w:bookmarkStart w:id="2753" w:name="_Toc272569972"/>
      <w:bookmarkStart w:id="2754" w:name="_Toc272572384"/>
      <w:bookmarkStart w:id="2755" w:name="_Toc272573200"/>
      <w:bookmarkStart w:id="2756" w:name="_Toc272568599"/>
      <w:bookmarkStart w:id="2757" w:name="_Toc277242455"/>
      <w:bookmarkStart w:id="2758" w:name="_Toc274551681"/>
      <w:bookmarkStart w:id="2759" w:name="_Toc272572928"/>
      <w:r>
        <w:rPr>
          <w:rFonts w:hint="eastAsia"/>
          <w:sz w:val="21"/>
          <w:szCs w:val="21"/>
        </w:rPr>
        <w:t>培训设备</w:t>
      </w:r>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p>
    <w:p w14:paraId="03F44839">
      <w:pPr>
        <w:ind w:firstLine="437"/>
        <w:rPr>
          <w:bCs/>
          <w:sz w:val="21"/>
          <w:szCs w:val="21"/>
        </w:rPr>
      </w:pPr>
      <w:bookmarkStart w:id="2760" w:name="_Toc293470501"/>
      <w:r>
        <w:rPr>
          <w:rFonts w:hint="eastAsia"/>
          <w:bCs/>
          <w:sz w:val="21"/>
          <w:szCs w:val="21"/>
        </w:rPr>
        <w:t>投标人须提供培训人员实习所需的系统硬件及软件平台，并包含相应的工具、测试仪表、器材等设备。</w:t>
      </w:r>
      <w:bookmarkEnd w:id="2760"/>
    </w:p>
    <w:p w14:paraId="486FA8BD">
      <w:pPr>
        <w:pStyle w:val="4"/>
        <w:rPr>
          <w:sz w:val="21"/>
          <w:szCs w:val="21"/>
        </w:rPr>
      </w:pPr>
      <w:bookmarkStart w:id="2761" w:name="_Toc214704258"/>
      <w:bookmarkStart w:id="2762" w:name="_Toc218145853"/>
      <w:bookmarkStart w:id="2763" w:name="_Toc128138387"/>
      <w:bookmarkStart w:id="2764" w:name="_Toc213407905"/>
      <w:bookmarkStart w:id="2765" w:name="_Toc218141735"/>
      <w:bookmarkStart w:id="2766" w:name="_Toc218141986"/>
      <w:bookmarkStart w:id="2767" w:name="_Toc218141267"/>
      <w:bookmarkStart w:id="2768" w:name="_Toc237702965"/>
      <w:bookmarkStart w:id="2769" w:name="_Toc128138758"/>
      <w:bookmarkStart w:id="2770" w:name="_Toc234326863"/>
      <w:bookmarkStart w:id="2771" w:name="_Toc234326595"/>
      <w:bookmarkStart w:id="2772" w:name="_Toc215889518"/>
      <w:bookmarkStart w:id="2773" w:name="_Toc215885605"/>
      <w:bookmarkStart w:id="2774" w:name="_Toc128139169"/>
      <w:bookmarkStart w:id="2775" w:name="_Toc290373479"/>
      <w:bookmarkStart w:id="2776" w:name="_Toc214704009"/>
      <w:bookmarkStart w:id="2777" w:name="_Toc130291619"/>
      <w:bookmarkStart w:id="2778" w:name="_Toc6841"/>
      <w:bookmarkStart w:id="2779" w:name="_Toc128121004"/>
      <w:bookmarkStart w:id="2780" w:name="_Toc234326059"/>
      <w:bookmarkStart w:id="2781" w:name="_Toc212870008"/>
      <w:bookmarkStart w:id="2782" w:name="_Toc218143497"/>
      <w:bookmarkStart w:id="2783" w:name="_Toc128137463"/>
      <w:bookmarkStart w:id="2784" w:name="_Toc217105822"/>
      <w:bookmarkStart w:id="2785" w:name="_Toc231185224"/>
      <w:bookmarkStart w:id="2786" w:name="_Toc131867948"/>
      <w:bookmarkStart w:id="2787" w:name="_Toc128138141"/>
      <w:bookmarkStart w:id="2788" w:name="_Toc218144720"/>
      <w:bookmarkStart w:id="2789" w:name="_Toc218144971"/>
      <w:bookmarkStart w:id="2790" w:name="_Toc128223344"/>
      <w:bookmarkStart w:id="2791" w:name="_Toc218144469"/>
      <w:bookmarkStart w:id="2792" w:name="_Toc218147647"/>
      <w:bookmarkStart w:id="2793" w:name="_Toc212875162"/>
      <w:bookmarkStart w:id="2794" w:name="_Toc128122974"/>
      <w:bookmarkStart w:id="2795" w:name="_Toc128139382"/>
      <w:bookmarkStart w:id="2796" w:name="_Toc128140071"/>
      <w:bookmarkStart w:id="2797" w:name="_Toc212872650"/>
      <w:bookmarkStart w:id="2798" w:name="_Toc128141063"/>
      <w:bookmarkStart w:id="2799" w:name="_Toc259981592"/>
      <w:bookmarkStart w:id="2800" w:name="_Toc234326327"/>
      <w:bookmarkStart w:id="2801" w:name="_Toc214704507"/>
      <w:bookmarkStart w:id="2802" w:name="_Toc128141241"/>
      <w:bookmarkStart w:id="2803" w:name="_Toc212873970"/>
      <w:bookmarkStart w:id="2804" w:name="_Toc213477310"/>
      <w:bookmarkStart w:id="2805" w:name="_Toc218145271"/>
      <w:bookmarkStart w:id="2806" w:name="_Toc128140638"/>
      <w:bookmarkStart w:id="2807" w:name="_Toc218147396"/>
      <w:bookmarkStart w:id="2808" w:name="_Toc5640"/>
      <w:bookmarkStart w:id="2809" w:name="_Toc218143928"/>
      <w:bookmarkStart w:id="2810" w:name="_Toc213477556"/>
      <w:bookmarkStart w:id="2811" w:name="_Toc128141540"/>
      <w:bookmarkStart w:id="2812" w:name="_Toc218144218"/>
      <w:bookmarkStart w:id="2813" w:name="_Toc218142237"/>
      <w:bookmarkStart w:id="2814" w:name="_Toc128137879"/>
      <w:r>
        <w:rPr>
          <w:sz w:val="21"/>
          <w:szCs w:val="21"/>
        </w:rPr>
        <w:t>培训计划和内容</w:t>
      </w:r>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p>
    <w:p w14:paraId="4D1C4908">
      <w:pPr>
        <w:pStyle w:val="5"/>
        <w:rPr>
          <w:color w:val="auto"/>
          <w:szCs w:val="21"/>
        </w:rPr>
      </w:pPr>
      <w:r>
        <w:rPr>
          <w:color w:val="auto"/>
          <w:szCs w:val="21"/>
        </w:rPr>
        <w:t>招标人将对投标人提交的培训计划进行确认，培训计划应包括：</w:t>
      </w:r>
    </w:p>
    <w:p w14:paraId="4959EA20">
      <w:pPr>
        <w:widowControl/>
        <w:numPr>
          <w:ilvl w:val="0"/>
          <w:numId w:val="38"/>
        </w:numPr>
        <w:tabs>
          <w:tab w:val="left" w:pos="1486"/>
        </w:tabs>
        <w:adjustRightInd w:val="0"/>
        <w:snapToGrid w:val="0"/>
        <w:ind w:left="1378"/>
        <w:rPr>
          <w:sz w:val="21"/>
          <w:szCs w:val="21"/>
        </w:rPr>
      </w:pPr>
      <w:r>
        <w:rPr>
          <w:sz w:val="21"/>
          <w:szCs w:val="21"/>
        </w:rPr>
        <w:t>培训的目标：</w:t>
      </w:r>
    </w:p>
    <w:p w14:paraId="04A74116">
      <w:pPr>
        <w:widowControl/>
        <w:numPr>
          <w:ilvl w:val="0"/>
          <w:numId w:val="38"/>
        </w:numPr>
        <w:tabs>
          <w:tab w:val="left" w:pos="1486"/>
        </w:tabs>
        <w:adjustRightInd w:val="0"/>
        <w:snapToGrid w:val="0"/>
        <w:ind w:left="1378"/>
        <w:rPr>
          <w:sz w:val="21"/>
          <w:szCs w:val="21"/>
        </w:rPr>
      </w:pPr>
      <w:r>
        <w:rPr>
          <w:sz w:val="21"/>
          <w:szCs w:val="21"/>
        </w:rPr>
        <w:t>培训的内容；</w:t>
      </w:r>
    </w:p>
    <w:p w14:paraId="7BCAB196">
      <w:pPr>
        <w:widowControl/>
        <w:numPr>
          <w:ilvl w:val="0"/>
          <w:numId w:val="38"/>
        </w:numPr>
        <w:tabs>
          <w:tab w:val="left" w:pos="1486"/>
        </w:tabs>
        <w:adjustRightInd w:val="0"/>
        <w:snapToGrid w:val="0"/>
        <w:ind w:left="1378"/>
        <w:rPr>
          <w:sz w:val="21"/>
          <w:szCs w:val="21"/>
        </w:rPr>
      </w:pPr>
      <w:r>
        <w:rPr>
          <w:sz w:val="21"/>
          <w:szCs w:val="21"/>
        </w:rPr>
        <w:t>培训起止时间</w:t>
      </w:r>
      <w:r>
        <w:rPr>
          <w:rFonts w:hint="eastAsia"/>
          <w:sz w:val="21"/>
          <w:szCs w:val="21"/>
        </w:rPr>
        <w:t>；</w:t>
      </w:r>
    </w:p>
    <w:p w14:paraId="7C83A229">
      <w:pPr>
        <w:widowControl/>
        <w:numPr>
          <w:ilvl w:val="0"/>
          <w:numId w:val="38"/>
        </w:numPr>
        <w:tabs>
          <w:tab w:val="left" w:pos="1486"/>
        </w:tabs>
        <w:adjustRightInd w:val="0"/>
        <w:snapToGrid w:val="0"/>
        <w:ind w:left="1378"/>
        <w:rPr>
          <w:sz w:val="21"/>
          <w:szCs w:val="21"/>
        </w:rPr>
      </w:pPr>
      <w:r>
        <w:rPr>
          <w:sz w:val="21"/>
          <w:szCs w:val="21"/>
        </w:rPr>
        <w:t>培训的材料和文件：</w:t>
      </w:r>
    </w:p>
    <w:p w14:paraId="2753A543">
      <w:pPr>
        <w:widowControl/>
        <w:numPr>
          <w:ilvl w:val="0"/>
          <w:numId w:val="38"/>
        </w:numPr>
        <w:tabs>
          <w:tab w:val="left" w:pos="1486"/>
        </w:tabs>
        <w:adjustRightInd w:val="0"/>
        <w:snapToGrid w:val="0"/>
        <w:ind w:left="1378"/>
        <w:rPr>
          <w:sz w:val="21"/>
          <w:szCs w:val="21"/>
        </w:rPr>
      </w:pPr>
      <w:r>
        <w:rPr>
          <w:sz w:val="21"/>
          <w:szCs w:val="21"/>
        </w:rPr>
        <w:t>培训地点：</w:t>
      </w:r>
    </w:p>
    <w:p w14:paraId="1511D5E3">
      <w:pPr>
        <w:widowControl/>
        <w:numPr>
          <w:ilvl w:val="0"/>
          <w:numId w:val="38"/>
        </w:numPr>
        <w:tabs>
          <w:tab w:val="left" w:pos="1486"/>
        </w:tabs>
        <w:adjustRightInd w:val="0"/>
        <w:snapToGrid w:val="0"/>
        <w:ind w:left="1378"/>
        <w:rPr>
          <w:sz w:val="21"/>
          <w:szCs w:val="21"/>
        </w:rPr>
      </w:pPr>
      <w:r>
        <w:rPr>
          <w:sz w:val="21"/>
          <w:szCs w:val="21"/>
        </w:rPr>
        <w:t>授课人员的姓名及职称：</w:t>
      </w:r>
    </w:p>
    <w:p w14:paraId="11DC0643">
      <w:pPr>
        <w:widowControl/>
        <w:numPr>
          <w:ilvl w:val="0"/>
          <w:numId w:val="38"/>
        </w:numPr>
        <w:tabs>
          <w:tab w:val="left" w:pos="1486"/>
        </w:tabs>
        <w:adjustRightInd w:val="0"/>
        <w:snapToGrid w:val="0"/>
        <w:ind w:left="1378"/>
        <w:rPr>
          <w:sz w:val="21"/>
          <w:szCs w:val="21"/>
        </w:rPr>
      </w:pPr>
      <w:r>
        <w:rPr>
          <w:sz w:val="21"/>
          <w:szCs w:val="21"/>
        </w:rPr>
        <w:t>课程效果的评估方法。</w:t>
      </w:r>
    </w:p>
    <w:p w14:paraId="04B6B9AC">
      <w:pPr>
        <w:pStyle w:val="5"/>
        <w:rPr>
          <w:color w:val="auto"/>
          <w:szCs w:val="21"/>
        </w:rPr>
      </w:pPr>
      <w:r>
        <w:rPr>
          <w:color w:val="auto"/>
          <w:szCs w:val="21"/>
        </w:rPr>
        <w:t>培训材料应在培训实施前1个月</w:t>
      </w:r>
      <w:r>
        <w:rPr>
          <w:rFonts w:hint="eastAsia"/>
          <w:color w:val="auto"/>
          <w:szCs w:val="21"/>
        </w:rPr>
        <w:t>（或根据招标人的具体要求）</w:t>
      </w:r>
      <w:r>
        <w:rPr>
          <w:color w:val="auto"/>
          <w:szCs w:val="21"/>
        </w:rPr>
        <w:t>提交给招标人确认。</w:t>
      </w:r>
    </w:p>
    <w:p w14:paraId="67C120F0">
      <w:pPr>
        <w:pStyle w:val="5"/>
        <w:rPr>
          <w:color w:val="auto"/>
          <w:szCs w:val="21"/>
        </w:rPr>
      </w:pPr>
      <w:r>
        <w:rPr>
          <w:color w:val="auto"/>
          <w:szCs w:val="21"/>
        </w:rPr>
        <w:t>除投标人应提供所有培训材料的文件外，还应提供电子文件</w:t>
      </w:r>
      <w:r>
        <w:rPr>
          <w:rFonts w:hint="eastAsia"/>
          <w:color w:val="auto"/>
          <w:szCs w:val="21"/>
        </w:rPr>
        <w:t>（光盘形式）</w:t>
      </w:r>
      <w:r>
        <w:rPr>
          <w:color w:val="auto"/>
          <w:szCs w:val="21"/>
        </w:rPr>
        <w:t>2份。</w:t>
      </w:r>
    </w:p>
    <w:p w14:paraId="262B101E">
      <w:pPr>
        <w:pStyle w:val="4"/>
        <w:rPr>
          <w:sz w:val="21"/>
          <w:szCs w:val="21"/>
        </w:rPr>
      </w:pPr>
      <w:bookmarkStart w:id="2815" w:name="_Toc128140639"/>
      <w:bookmarkStart w:id="2816" w:name="_Toc218147397"/>
      <w:bookmarkStart w:id="2817" w:name="_Toc218147648"/>
      <w:bookmarkStart w:id="2818" w:name="_Toc128137464"/>
      <w:bookmarkStart w:id="2819" w:name="_Toc128138142"/>
      <w:bookmarkStart w:id="2820" w:name="_Toc131867949"/>
      <w:bookmarkStart w:id="2821" w:name="_Toc218143929"/>
      <w:bookmarkStart w:id="2822" w:name="_Toc213477311"/>
      <w:bookmarkStart w:id="2823" w:name="_Toc215889519"/>
      <w:bookmarkStart w:id="2824" w:name="_Toc128140072"/>
      <w:bookmarkStart w:id="2825" w:name="_Toc128138759"/>
      <w:bookmarkStart w:id="2826" w:name="_Toc28075"/>
      <w:bookmarkStart w:id="2827" w:name="_Toc234326060"/>
      <w:bookmarkStart w:id="2828" w:name="_Toc218143498"/>
      <w:bookmarkStart w:id="2829" w:name="_Toc128141541"/>
      <w:bookmarkStart w:id="2830" w:name="_Toc128139383"/>
      <w:bookmarkStart w:id="2831" w:name="_Toc218145854"/>
      <w:bookmarkStart w:id="2832" w:name="_Toc218141987"/>
      <w:bookmarkStart w:id="2833" w:name="_Toc128138388"/>
      <w:bookmarkStart w:id="2834" w:name="_Toc212873971"/>
      <w:bookmarkStart w:id="2835" w:name="_Toc212870009"/>
      <w:bookmarkStart w:id="2836" w:name="_Toc212872651"/>
      <w:bookmarkStart w:id="2837" w:name="_Toc218144972"/>
      <w:bookmarkStart w:id="2838" w:name="_Toc214704508"/>
      <w:bookmarkStart w:id="2839" w:name="_Toc212875163"/>
      <w:bookmarkStart w:id="2840" w:name="_Toc231185225"/>
      <w:bookmarkStart w:id="2841" w:name="_Toc128121005"/>
      <w:bookmarkStart w:id="2842" w:name="_Toc128122975"/>
      <w:bookmarkStart w:id="2843" w:name="_Toc218144721"/>
      <w:bookmarkStart w:id="2844" w:name="_Toc128141064"/>
      <w:bookmarkStart w:id="2845" w:name="_Toc128137880"/>
      <w:bookmarkStart w:id="2846" w:name="_Toc234326328"/>
      <w:bookmarkStart w:id="2847" w:name="_Toc218144470"/>
      <w:bookmarkStart w:id="2848" w:name="_Toc259981593"/>
      <w:bookmarkStart w:id="2849" w:name="_Toc217105823"/>
      <w:bookmarkStart w:id="2850" w:name="_Toc214704010"/>
      <w:bookmarkStart w:id="2851" w:name="_Toc213407906"/>
      <w:bookmarkStart w:id="2852" w:name="_Toc290373480"/>
      <w:bookmarkStart w:id="2853" w:name="_Toc215885606"/>
      <w:bookmarkStart w:id="2854" w:name="_Toc213477557"/>
      <w:bookmarkStart w:id="2855" w:name="_Toc128139170"/>
      <w:bookmarkStart w:id="2856" w:name="_Toc128141242"/>
      <w:bookmarkStart w:id="2857" w:name="_Toc218141268"/>
      <w:bookmarkStart w:id="2858" w:name="_Toc234326596"/>
      <w:bookmarkStart w:id="2859" w:name="_Toc218145272"/>
      <w:bookmarkStart w:id="2860" w:name="_Toc21706"/>
      <w:bookmarkStart w:id="2861" w:name="_Toc218144219"/>
      <w:bookmarkStart w:id="2862" w:name="_Toc218142238"/>
      <w:bookmarkStart w:id="2863" w:name="_Toc130291620"/>
      <w:bookmarkStart w:id="2864" w:name="_Toc237702966"/>
      <w:bookmarkStart w:id="2865" w:name="_Toc234326864"/>
      <w:bookmarkStart w:id="2866" w:name="_Toc214704259"/>
      <w:bookmarkStart w:id="2867" w:name="_Toc128223345"/>
      <w:bookmarkStart w:id="2868" w:name="_Toc218141736"/>
      <w:r>
        <w:rPr>
          <w:rFonts w:hint="eastAsia"/>
          <w:sz w:val="21"/>
          <w:szCs w:val="21"/>
        </w:rPr>
        <w:t>原厂</w:t>
      </w:r>
      <w:r>
        <w:rPr>
          <w:sz w:val="21"/>
          <w:szCs w:val="21"/>
        </w:rPr>
        <w:t>培训要求</w:t>
      </w:r>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p>
    <w:p w14:paraId="087F07A5">
      <w:pPr>
        <w:pStyle w:val="5"/>
        <w:rPr>
          <w:color w:val="auto"/>
          <w:szCs w:val="21"/>
        </w:rPr>
      </w:pPr>
      <w:r>
        <w:rPr>
          <w:color w:val="auto"/>
          <w:szCs w:val="21"/>
        </w:rPr>
        <w:t>投标人要派出经验丰富的技术人员对招标人的维修、操作人员进行</w:t>
      </w:r>
      <w:r>
        <w:rPr>
          <w:rFonts w:hint="eastAsia"/>
          <w:color w:val="auto"/>
          <w:szCs w:val="21"/>
        </w:rPr>
        <w:t>原厂</w:t>
      </w:r>
      <w:r>
        <w:rPr>
          <w:color w:val="auto"/>
          <w:szCs w:val="21"/>
        </w:rPr>
        <w:t>培训。</w:t>
      </w:r>
    </w:p>
    <w:p w14:paraId="32434615">
      <w:pPr>
        <w:pStyle w:val="5"/>
        <w:rPr>
          <w:color w:val="auto"/>
          <w:szCs w:val="21"/>
        </w:rPr>
      </w:pPr>
      <w:r>
        <w:rPr>
          <w:color w:val="auto"/>
          <w:szCs w:val="21"/>
        </w:rPr>
        <w:t>如果技术培训有等级之分，则</w:t>
      </w:r>
      <w:r>
        <w:rPr>
          <w:rFonts w:hint="eastAsia"/>
          <w:color w:val="auto"/>
          <w:szCs w:val="21"/>
        </w:rPr>
        <w:t>原厂</w:t>
      </w:r>
      <w:r>
        <w:rPr>
          <w:color w:val="auto"/>
          <w:szCs w:val="21"/>
        </w:rPr>
        <w:t>培训的等级为中级以上。技术培训的人员数量、地点和时间等由投标人在其标书中提出具体建议，并在合同中确定。</w:t>
      </w:r>
    </w:p>
    <w:p w14:paraId="404A70DB">
      <w:pPr>
        <w:pStyle w:val="5"/>
        <w:rPr>
          <w:color w:val="auto"/>
          <w:szCs w:val="21"/>
        </w:rPr>
      </w:pPr>
      <w:r>
        <w:rPr>
          <w:color w:val="auto"/>
          <w:szCs w:val="21"/>
        </w:rPr>
        <w:t>国内培训的语言为中文，培训教材应用中文编写。投标人应负责国外培训期间的中文翻译。</w:t>
      </w:r>
    </w:p>
    <w:p w14:paraId="6EF66ECB">
      <w:pPr>
        <w:pStyle w:val="5"/>
        <w:rPr>
          <w:color w:val="auto"/>
          <w:szCs w:val="21"/>
        </w:rPr>
      </w:pPr>
      <w:r>
        <w:rPr>
          <w:color w:val="auto"/>
          <w:szCs w:val="21"/>
        </w:rPr>
        <w:t>培训教材应包括相关设备的安装调测和维护技术</w:t>
      </w:r>
      <w:r>
        <w:rPr>
          <w:rFonts w:hint="eastAsia"/>
          <w:color w:val="auto"/>
          <w:szCs w:val="21"/>
        </w:rPr>
        <w:t>，操作规程</w:t>
      </w:r>
      <w:r>
        <w:rPr>
          <w:color w:val="auto"/>
          <w:szCs w:val="21"/>
        </w:rPr>
        <w:t>。</w:t>
      </w:r>
    </w:p>
    <w:p w14:paraId="1470F316">
      <w:pPr>
        <w:pStyle w:val="5"/>
        <w:rPr>
          <w:color w:val="auto"/>
          <w:szCs w:val="21"/>
        </w:rPr>
      </w:pPr>
      <w:r>
        <w:rPr>
          <w:color w:val="auto"/>
          <w:szCs w:val="21"/>
        </w:rPr>
        <w:t>培训用教材应提供最新的并与所供应的设备一致的版本，并保证每一个学员都能得到一整套教材。</w:t>
      </w:r>
    </w:p>
    <w:p w14:paraId="79112635">
      <w:pPr>
        <w:pStyle w:val="5"/>
        <w:rPr>
          <w:color w:val="auto"/>
        </w:rPr>
      </w:pPr>
      <w:r>
        <w:rPr>
          <w:rFonts w:hint="eastAsia"/>
          <w:color w:val="auto"/>
          <w:szCs w:val="21"/>
          <w:lang w:val="en-US" w:eastAsia="zh-CN"/>
        </w:rPr>
        <w:t>管理云平台</w:t>
      </w:r>
      <w:r>
        <w:rPr>
          <w:rFonts w:hint="eastAsia"/>
          <w:color w:val="auto"/>
          <w:szCs w:val="21"/>
          <w:lang w:val="en-US"/>
        </w:rPr>
        <w:t>系统</w:t>
      </w:r>
      <w:r>
        <w:rPr>
          <w:rFonts w:hint="eastAsia"/>
          <w:color w:val="auto"/>
          <w:szCs w:val="21"/>
        </w:rPr>
        <w:t>原产地培训不少于</w:t>
      </w:r>
      <w:r>
        <w:rPr>
          <w:rFonts w:hint="eastAsia"/>
          <w:color w:val="auto"/>
          <w:szCs w:val="21"/>
          <w:lang w:val="en-US"/>
        </w:rPr>
        <w:t>30</w:t>
      </w:r>
      <w:r>
        <w:rPr>
          <w:rFonts w:hint="eastAsia"/>
          <w:color w:val="auto"/>
          <w:szCs w:val="21"/>
        </w:rPr>
        <w:t>人天，提供相同或同类型号的设备进行模拟环境的操作。培训内容包括</w:t>
      </w:r>
      <w:r>
        <w:rPr>
          <w:rFonts w:hint="eastAsia"/>
          <w:color w:val="auto"/>
          <w:szCs w:val="21"/>
          <w:lang w:val="en-US" w:eastAsia="zh-CN"/>
        </w:rPr>
        <w:t>管理云平台</w:t>
      </w:r>
      <w:r>
        <w:rPr>
          <w:rFonts w:hint="eastAsia"/>
          <w:color w:val="auto"/>
          <w:szCs w:val="21"/>
          <w:lang w:val="en-US"/>
        </w:rPr>
        <w:t>系统</w:t>
      </w:r>
      <w:r>
        <w:rPr>
          <w:rFonts w:hint="eastAsia"/>
          <w:color w:val="auto"/>
          <w:szCs w:val="21"/>
        </w:rPr>
        <w:t>设备的配置维护、</w:t>
      </w:r>
      <w:r>
        <w:rPr>
          <w:rFonts w:hint="eastAsia"/>
          <w:color w:val="auto"/>
          <w:szCs w:val="21"/>
          <w:lang w:val="en-US"/>
        </w:rPr>
        <w:t>故障处理</w:t>
      </w:r>
      <w:r>
        <w:rPr>
          <w:rFonts w:hint="eastAsia"/>
          <w:color w:val="auto"/>
          <w:szCs w:val="21"/>
        </w:rPr>
        <w:t>等。</w:t>
      </w:r>
    </w:p>
    <w:p w14:paraId="4B680F79">
      <w:pPr>
        <w:pStyle w:val="5"/>
        <w:rPr>
          <w:color w:val="auto"/>
          <w:szCs w:val="21"/>
        </w:rPr>
      </w:pPr>
      <w:r>
        <w:rPr>
          <w:color w:val="auto"/>
          <w:szCs w:val="21"/>
        </w:rPr>
        <w:t>投标人在投标文件中应提交培训建议计划。培训建议应包括：培训的目标；培训的内容；培训起止时间；使用的培训设施；培训的材料和文件目录；培训地点；授课人员的姓名及职称；培训测试和考试；课程效果的评估方法等，具体细节在合同谈判中确定。</w:t>
      </w:r>
    </w:p>
    <w:p w14:paraId="5AA491FC">
      <w:pPr>
        <w:pStyle w:val="4"/>
        <w:rPr>
          <w:sz w:val="21"/>
          <w:szCs w:val="21"/>
        </w:rPr>
      </w:pPr>
      <w:bookmarkStart w:id="2869" w:name="_Toc128121006"/>
      <w:bookmarkStart w:id="2870" w:name="_Toc128138389"/>
      <w:bookmarkStart w:id="2871" w:name="_Toc218145273"/>
      <w:bookmarkStart w:id="2872" w:name="_Toc212875164"/>
      <w:bookmarkStart w:id="2873" w:name="_Toc214704011"/>
      <w:bookmarkStart w:id="2874" w:name="_Toc218144722"/>
      <w:bookmarkStart w:id="2875" w:name="_Toc231185226"/>
      <w:bookmarkStart w:id="2876" w:name="_Toc234326597"/>
      <w:bookmarkStart w:id="2877" w:name="_Toc213407907"/>
      <w:bookmarkStart w:id="2878" w:name="_Toc234326329"/>
      <w:bookmarkStart w:id="2879" w:name="_Toc218141988"/>
      <w:bookmarkStart w:id="2880" w:name="_Toc259981594"/>
      <w:bookmarkStart w:id="2881" w:name="_Toc218145855"/>
      <w:bookmarkStart w:id="2882" w:name="_Toc290373481"/>
      <w:bookmarkStart w:id="2883" w:name="_Toc218147398"/>
      <w:bookmarkStart w:id="2884" w:name="_Toc215885607"/>
      <w:bookmarkStart w:id="2885" w:name="_Toc214704509"/>
      <w:bookmarkStart w:id="2886" w:name="_Toc218144471"/>
      <w:bookmarkStart w:id="2887" w:name="_Toc128141243"/>
      <w:bookmarkStart w:id="2888" w:name="_Toc218141269"/>
      <w:bookmarkStart w:id="2889" w:name="_Toc128223346"/>
      <w:bookmarkStart w:id="2890" w:name="_Toc218143499"/>
      <w:bookmarkStart w:id="2891" w:name="_Toc19702"/>
      <w:bookmarkStart w:id="2892" w:name="_Toc130291621"/>
      <w:bookmarkStart w:id="2893" w:name="_Toc218141737"/>
      <w:bookmarkStart w:id="2894" w:name="_Toc218147649"/>
      <w:bookmarkStart w:id="2895" w:name="_Toc128140073"/>
      <w:bookmarkStart w:id="2896" w:name="_Toc212870010"/>
      <w:bookmarkStart w:id="2897" w:name="_Toc128138143"/>
      <w:bookmarkStart w:id="2898" w:name="_Toc218144973"/>
      <w:bookmarkStart w:id="2899" w:name="_Toc218142239"/>
      <w:bookmarkStart w:id="2900" w:name="_Toc128141065"/>
      <w:bookmarkStart w:id="2901" w:name="_Toc217105824"/>
      <w:bookmarkStart w:id="2902" w:name="_Toc128138760"/>
      <w:bookmarkStart w:id="2903" w:name="_Toc212873972"/>
      <w:bookmarkStart w:id="2904" w:name="_Toc212872652"/>
      <w:bookmarkStart w:id="2905" w:name="_Toc213477312"/>
      <w:bookmarkStart w:id="2906" w:name="_Toc218143930"/>
      <w:bookmarkStart w:id="2907" w:name="_Toc215889520"/>
      <w:bookmarkStart w:id="2908" w:name="_Toc128139171"/>
      <w:bookmarkStart w:id="2909" w:name="_Toc213477558"/>
      <w:bookmarkStart w:id="2910" w:name="_Toc14790"/>
      <w:bookmarkStart w:id="2911" w:name="_Toc128141542"/>
      <w:bookmarkStart w:id="2912" w:name="_Toc128122976"/>
      <w:bookmarkStart w:id="2913" w:name="_Toc218144220"/>
      <w:bookmarkStart w:id="2914" w:name="_Toc128140640"/>
      <w:bookmarkStart w:id="2915" w:name="_Toc128139384"/>
      <w:bookmarkStart w:id="2916" w:name="_Toc128137881"/>
      <w:bookmarkStart w:id="2917" w:name="_Toc234326865"/>
      <w:bookmarkStart w:id="2918" w:name="_Toc214704260"/>
      <w:bookmarkStart w:id="2919" w:name="_Toc131867950"/>
      <w:bookmarkStart w:id="2920" w:name="_Toc234326061"/>
      <w:bookmarkStart w:id="2921" w:name="_Toc128137465"/>
      <w:bookmarkStart w:id="2922" w:name="_Toc237702967"/>
      <w:r>
        <w:rPr>
          <w:sz w:val="21"/>
          <w:szCs w:val="21"/>
        </w:rPr>
        <w:t>现场培训要求</w:t>
      </w:r>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p>
    <w:p w14:paraId="3848FC2F">
      <w:pPr>
        <w:pStyle w:val="5"/>
        <w:rPr>
          <w:color w:val="auto"/>
          <w:szCs w:val="21"/>
        </w:rPr>
      </w:pPr>
      <w:r>
        <w:rPr>
          <w:color w:val="auto"/>
          <w:szCs w:val="21"/>
        </w:rPr>
        <w:t>投标人要派出经验丰富的技术人员对招标人的维修、操作人员进行现场培训。</w:t>
      </w:r>
    </w:p>
    <w:p w14:paraId="1289329F">
      <w:pPr>
        <w:pStyle w:val="5"/>
        <w:rPr>
          <w:color w:val="auto"/>
          <w:szCs w:val="21"/>
        </w:rPr>
      </w:pPr>
      <w:r>
        <w:rPr>
          <w:rFonts w:hint="eastAsia"/>
          <w:color w:val="auto"/>
          <w:szCs w:val="21"/>
        </w:rPr>
        <w:t>现场培训的时间应按照招标人的具体规定进行，所有参加培训的人员应有上机操作的过程。</w:t>
      </w:r>
    </w:p>
    <w:p w14:paraId="5B5ED3D5">
      <w:pPr>
        <w:pStyle w:val="5"/>
        <w:rPr>
          <w:color w:val="auto"/>
          <w:szCs w:val="21"/>
        </w:rPr>
      </w:pPr>
      <w:r>
        <w:rPr>
          <w:color w:val="auto"/>
          <w:szCs w:val="21"/>
        </w:rPr>
        <w:t>现场培训应包括操作、维护等项内容，使维护人员掌握操作、维护投标人提供的设备、专用仪表的能力。</w:t>
      </w:r>
    </w:p>
    <w:p w14:paraId="4BE1F285">
      <w:pPr>
        <w:pStyle w:val="5"/>
        <w:rPr>
          <w:color w:val="auto"/>
          <w:szCs w:val="21"/>
        </w:rPr>
      </w:pPr>
      <w:r>
        <w:rPr>
          <w:rFonts w:hint="eastAsia"/>
          <w:color w:val="auto"/>
          <w:szCs w:val="21"/>
        </w:rPr>
        <w:t>现场培训暂按6次，具体时间、人数、地点由招标人根据需要确定。</w:t>
      </w:r>
    </w:p>
    <w:p w14:paraId="1C96B2C8">
      <w:pPr>
        <w:pStyle w:val="4"/>
        <w:rPr>
          <w:sz w:val="21"/>
          <w:szCs w:val="21"/>
        </w:rPr>
      </w:pPr>
      <w:bookmarkStart w:id="2923" w:name="_Toc218145274"/>
      <w:bookmarkStart w:id="2924" w:name="_Toc218145856"/>
      <w:bookmarkStart w:id="2925" w:name="_Toc128141066"/>
      <w:bookmarkStart w:id="2926" w:name="_Toc128137466"/>
      <w:bookmarkStart w:id="2927" w:name="_Toc6714"/>
      <w:bookmarkStart w:id="2928" w:name="_Toc128223347"/>
      <w:bookmarkStart w:id="2929" w:name="_Toc237702968"/>
      <w:bookmarkStart w:id="2930" w:name="_Toc3878"/>
      <w:bookmarkStart w:id="2931" w:name="_Toc128141543"/>
      <w:bookmarkStart w:id="2932" w:name="_Toc259981595"/>
      <w:bookmarkStart w:id="2933" w:name="_Toc231185227"/>
      <w:bookmarkStart w:id="2934" w:name="_Toc218144974"/>
      <w:bookmarkStart w:id="2935" w:name="_Toc128139172"/>
      <w:bookmarkStart w:id="2936" w:name="_Toc218141989"/>
      <w:bookmarkStart w:id="2937" w:name="_Toc218143500"/>
      <w:bookmarkStart w:id="2938" w:name="_Toc218141270"/>
      <w:bookmarkStart w:id="2939" w:name="_Toc218142240"/>
      <w:bookmarkStart w:id="2940" w:name="_Toc234326598"/>
      <w:bookmarkStart w:id="2941" w:name="_Toc218147650"/>
      <w:bookmarkStart w:id="2942" w:name="_Toc128141244"/>
      <w:bookmarkStart w:id="2943" w:name="_Toc213407908"/>
      <w:bookmarkStart w:id="2944" w:name="_Toc128137882"/>
      <w:bookmarkStart w:id="2945" w:name="_Toc218147399"/>
      <w:bookmarkStart w:id="2946" w:name="_Toc218143931"/>
      <w:bookmarkStart w:id="2947" w:name="_Toc214704012"/>
      <w:bookmarkStart w:id="2948" w:name="_Toc128139385"/>
      <w:bookmarkStart w:id="2949" w:name="_Toc128138390"/>
      <w:bookmarkStart w:id="2950" w:name="_Toc212870011"/>
      <w:bookmarkStart w:id="2951" w:name="_Toc218144472"/>
      <w:bookmarkStart w:id="2952" w:name="_Toc213477313"/>
      <w:bookmarkStart w:id="2953" w:name="_Toc212873973"/>
      <w:bookmarkStart w:id="2954" w:name="_Toc212875165"/>
      <w:bookmarkStart w:id="2955" w:name="_Toc218144221"/>
      <w:bookmarkStart w:id="2956" w:name="_Toc234326062"/>
      <w:bookmarkStart w:id="2957" w:name="_Toc290373482"/>
      <w:bookmarkStart w:id="2958" w:name="_Toc218144723"/>
      <w:bookmarkStart w:id="2959" w:name="_Toc218141738"/>
      <w:bookmarkStart w:id="2960" w:name="_Toc234326866"/>
      <w:bookmarkStart w:id="2961" w:name="_Toc128140074"/>
      <w:bookmarkStart w:id="2962" w:name="_Toc128138761"/>
      <w:bookmarkStart w:id="2963" w:name="_Toc214704510"/>
      <w:bookmarkStart w:id="2964" w:name="_Toc215885608"/>
      <w:bookmarkStart w:id="2965" w:name="_Toc213477559"/>
      <w:bookmarkStart w:id="2966" w:name="_Toc217105825"/>
      <w:bookmarkStart w:id="2967" w:name="_Toc131867951"/>
      <w:bookmarkStart w:id="2968" w:name="_Toc212872653"/>
      <w:bookmarkStart w:id="2969" w:name="_Toc128140641"/>
      <w:bookmarkStart w:id="2970" w:name="_Toc128121007"/>
      <w:bookmarkStart w:id="2971" w:name="_Toc130291622"/>
      <w:bookmarkStart w:id="2972" w:name="_Toc128122977"/>
      <w:bookmarkStart w:id="2973" w:name="_Toc128138144"/>
      <w:bookmarkStart w:id="2974" w:name="_Toc215889521"/>
      <w:bookmarkStart w:id="2975" w:name="_Toc234326330"/>
      <w:bookmarkStart w:id="2976" w:name="_Toc214704261"/>
      <w:r>
        <w:rPr>
          <w:sz w:val="21"/>
          <w:szCs w:val="21"/>
        </w:rPr>
        <w:t>培训费用</w:t>
      </w:r>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p>
    <w:p w14:paraId="7483B145">
      <w:pPr>
        <w:pStyle w:val="5"/>
        <w:rPr>
          <w:color w:val="auto"/>
          <w:szCs w:val="21"/>
        </w:rPr>
      </w:pPr>
      <w:r>
        <w:rPr>
          <w:rFonts w:hint="eastAsia"/>
          <w:color w:val="auto"/>
          <w:szCs w:val="21"/>
        </w:rPr>
        <w:t>工厂培训费用分为如下几项：</w:t>
      </w:r>
    </w:p>
    <w:p w14:paraId="73A9ABB9">
      <w:pPr>
        <w:widowControl/>
        <w:numPr>
          <w:ilvl w:val="0"/>
          <w:numId w:val="38"/>
        </w:numPr>
        <w:tabs>
          <w:tab w:val="left" w:pos="1486"/>
        </w:tabs>
        <w:adjustRightInd w:val="0"/>
        <w:snapToGrid w:val="0"/>
        <w:ind w:left="1378"/>
        <w:rPr>
          <w:sz w:val="21"/>
          <w:szCs w:val="21"/>
        </w:rPr>
      </w:pPr>
      <w:r>
        <w:rPr>
          <w:rFonts w:hint="eastAsia"/>
          <w:sz w:val="21"/>
          <w:szCs w:val="21"/>
        </w:rPr>
        <w:t>学员的旅行费用和当地交通费用；</w:t>
      </w:r>
    </w:p>
    <w:p w14:paraId="6A28A61F">
      <w:pPr>
        <w:widowControl/>
        <w:numPr>
          <w:ilvl w:val="0"/>
          <w:numId w:val="38"/>
        </w:numPr>
        <w:tabs>
          <w:tab w:val="left" w:pos="1486"/>
        </w:tabs>
        <w:adjustRightInd w:val="0"/>
        <w:snapToGrid w:val="0"/>
        <w:ind w:left="1378"/>
        <w:rPr>
          <w:sz w:val="21"/>
          <w:szCs w:val="21"/>
        </w:rPr>
      </w:pPr>
      <w:r>
        <w:rPr>
          <w:rFonts w:hint="eastAsia"/>
          <w:sz w:val="21"/>
          <w:szCs w:val="21"/>
        </w:rPr>
        <w:t>学员的食宿等费用；</w:t>
      </w:r>
    </w:p>
    <w:p w14:paraId="52E37104">
      <w:pPr>
        <w:widowControl/>
        <w:numPr>
          <w:ilvl w:val="0"/>
          <w:numId w:val="38"/>
        </w:numPr>
        <w:tabs>
          <w:tab w:val="left" w:pos="1486"/>
        </w:tabs>
        <w:adjustRightInd w:val="0"/>
        <w:snapToGrid w:val="0"/>
        <w:ind w:left="1378"/>
        <w:rPr>
          <w:sz w:val="21"/>
          <w:szCs w:val="21"/>
        </w:rPr>
      </w:pPr>
      <w:r>
        <w:rPr>
          <w:rFonts w:hint="eastAsia"/>
          <w:sz w:val="21"/>
          <w:szCs w:val="21"/>
        </w:rPr>
        <w:t>各类培训使用投标人工具、仪器仪表和模拟仿真设施的费用、场地设施费用、教员以及书本费用；</w:t>
      </w:r>
    </w:p>
    <w:p w14:paraId="5575CCF1">
      <w:pPr>
        <w:widowControl/>
        <w:numPr>
          <w:ilvl w:val="0"/>
          <w:numId w:val="38"/>
        </w:numPr>
        <w:tabs>
          <w:tab w:val="left" w:pos="1486"/>
        </w:tabs>
        <w:adjustRightInd w:val="0"/>
        <w:snapToGrid w:val="0"/>
        <w:ind w:left="1378"/>
        <w:rPr>
          <w:sz w:val="21"/>
          <w:szCs w:val="21"/>
          <w:lang w:val="zh-CN"/>
        </w:rPr>
      </w:pPr>
      <w:r>
        <w:rPr>
          <w:rFonts w:hint="eastAsia"/>
          <w:sz w:val="21"/>
          <w:szCs w:val="21"/>
        </w:rPr>
        <w:t>投标人的服务费用等。</w:t>
      </w:r>
    </w:p>
    <w:p w14:paraId="155FDE35">
      <w:pPr>
        <w:pStyle w:val="5"/>
        <w:rPr>
          <w:color w:val="auto"/>
          <w:szCs w:val="21"/>
        </w:rPr>
      </w:pPr>
      <w:r>
        <w:rPr>
          <w:rFonts w:hint="eastAsia"/>
          <w:color w:val="auto"/>
          <w:szCs w:val="21"/>
        </w:rPr>
        <w:t>投标人应免费为招标人在工程现场进行培训。</w:t>
      </w:r>
    </w:p>
    <w:p w14:paraId="1A62E0DC">
      <w:pPr>
        <w:pStyle w:val="5"/>
        <w:rPr>
          <w:color w:val="auto"/>
          <w:szCs w:val="21"/>
        </w:rPr>
      </w:pPr>
      <w:r>
        <w:rPr>
          <w:rFonts w:hint="eastAsia"/>
          <w:color w:val="auto"/>
          <w:szCs w:val="21"/>
        </w:rPr>
        <w:t>所有培训费用均由投标人承担。</w:t>
      </w:r>
    </w:p>
    <w:p w14:paraId="3222359A">
      <w:pPr>
        <w:pStyle w:val="4"/>
        <w:rPr>
          <w:sz w:val="21"/>
          <w:szCs w:val="21"/>
        </w:rPr>
      </w:pPr>
      <w:bookmarkStart w:id="2977" w:name="_Toc218147400"/>
      <w:bookmarkStart w:id="2978" w:name="_Toc218143932"/>
      <w:bookmarkStart w:id="2979" w:name="_Toc128141245"/>
      <w:bookmarkStart w:id="2980" w:name="_Toc218144222"/>
      <w:bookmarkStart w:id="2981" w:name="_Toc218145275"/>
      <w:bookmarkStart w:id="2982" w:name="_Toc214704511"/>
      <w:bookmarkStart w:id="2983" w:name="_Toc218144724"/>
      <w:bookmarkStart w:id="2984" w:name="_Toc218142241"/>
      <w:bookmarkStart w:id="2985" w:name="_Toc128138145"/>
      <w:bookmarkStart w:id="2986" w:name="_Toc218143501"/>
      <w:bookmarkStart w:id="2987" w:name="_Toc218141271"/>
      <w:bookmarkStart w:id="2988" w:name="_Toc259981596"/>
      <w:bookmarkStart w:id="2989" w:name="_Toc128140075"/>
      <w:bookmarkStart w:id="2990" w:name="_Toc128121008"/>
      <w:bookmarkStart w:id="2991" w:name="_Toc128122978"/>
      <w:bookmarkStart w:id="2992" w:name="_Toc213407909"/>
      <w:bookmarkStart w:id="2993" w:name="_Toc237702969"/>
      <w:bookmarkStart w:id="2994" w:name="_Toc215889522"/>
      <w:bookmarkStart w:id="2995" w:name="_Toc130291623"/>
      <w:bookmarkStart w:id="2996" w:name="_Toc128139173"/>
      <w:bookmarkStart w:id="2997" w:name="_Toc215885609"/>
      <w:bookmarkStart w:id="2998" w:name="_Toc234326331"/>
      <w:bookmarkStart w:id="2999" w:name="_Toc128140642"/>
      <w:bookmarkStart w:id="3000" w:name="_Toc214704262"/>
      <w:bookmarkStart w:id="3001" w:name="_Toc234326599"/>
      <w:bookmarkStart w:id="3002" w:name="_Toc212870012"/>
      <w:bookmarkStart w:id="3003" w:name="_Toc218147651"/>
      <w:bookmarkStart w:id="3004" w:name="_Toc214704013"/>
      <w:bookmarkStart w:id="3005" w:name="_Toc212875166"/>
      <w:bookmarkStart w:id="3006" w:name="_Toc128138762"/>
      <w:bookmarkStart w:id="3007" w:name="_Toc128141544"/>
      <w:bookmarkStart w:id="3008" w:name="_Toc231185228"/>
      <w:bookmarkStart w:id="3009" w:name="_Toc218141990"/>
      <w:bookmarkStart w:id="3010" w:name="_Toc218144473"/>
      <w:bookmarkStart w:id="3011" w:name="_Toc212872654"/>
      <w:bookmarkStart w:id="3012" w:name="_Toc212873974"/>
      <w:bookmarkStart w:id="3013" w:name="_Toc128223348"/>
      <w:bookmarkStart w:id="3014" w:name="_Toc213477314"/>
      <w:bookmarkStart w:id="3015" w:name="_Toc128138391"/>
      <w:bookmarkStart w:id="3016" w:name="_Toc218145857"/>
      <w:bookmarkStart w:id="3017" w:name="_Toc218141739"/>
      <w:bookmarkStart w:id="3018" w:name="_Toc128137467"/>
      <w:bookmarkStart w:id="3019" w:name="_Toc131867952"/>
      <w:bookmarkStart w:id="3020" w:name="_Toc128141067"/>
      <w:bookmarkStart w:id="3021" w:name="_Toc128139386"/>
      <w:bookmarkStart w:id="3022" w:name="_Toc128137883"/>
      <w:bookmarkStart w:id="3023" w:name="_Toc234326867"/>
      <w:bookmarkStart w:id="3024" w:name="_Toc12569"/>
      <w:bookmarkStart w:id="3025" w:name="_Toc12047"/>
      <w:bookmarkStart w:id="3026" w:name="_Toc217105826"/>
      <w:bookmarkStart w:id="3027" w:name="_Toc234326063"/>
      <w:bookmarkStart w:id="3028" w:name="_Toc218144975"/>
      <w:bookmarkStart w:id="3029" w:name="_Toc290373483"/>
      <w:bookmarkStart w:id="3030" w:name="_Toc213477560"/>
      <w:r>
        <w:rPr>
          <w:sz w:val="21"/>
          <w:szCs w:val="21"/>
        </w:rPr>
        <w:t>培训测验和考试</w:t>
      </w:r>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p>
    <w:p w14:paraId="286F6E24">
      <w:pPr>
        <w:pStyle w:val="5"/>
        <w:rPr>
          <w:color w:val="auto"/>
          <w:szCs w:val="21"/>
        </w:rPr>
      </w:pPr>
      <w:r>
        <w:rPr>
          <w:rFonts w:hint="eastAsia"/>
          <w:color w:val="auto"/>
          <w:szCs w:val="21"/>
        </w:rPr>
        <w:t>为使学员不断进步而达到培训计划要求，投标人须经常组织测试和考试，并且在培训结束时通过考试确定他们是否合格。</w:t>
      </w:r>
    </w:p>
    <w:p w14:paraId="5E69F10C">
      <w:pPr>
        <w:pStyle w:val="5"/>
        <w:rPr>
          <w:color w:val="auto"/>
          <w:szCs w:val="21"/>
        </w:rPr>
      </w:pPr>
      <w:r>
        <w:rPr>
          <w:rFonts w:hint="eastAsia"/>
          <w:color w:val="auto"/>
          <w:szCs w:val="21"/>
        </w:rPr>
        <w:t>投标人须准备并提交一份测试和考试计划，以及详细材料，包括范围、功能和方法，供招标人批准。</w:t>
      </w:r>
    </w:p>
    <w:p w14:paraId="49498F26">
      <w:pPr>
        <w:pStyle w:val="5"/>
        <w:rPr>
          <w:color w:val="auto"/>
          <w:szCs w:val="21"/>
        </w:rPr>
      </w:pPr>
      <w:r>
        <w:rPr>
          <w:rFonts w:hint="eastAsia"/>
          <w:color w:val="auto"/>
          <w:szCs w:val="21"/>
        </w:rPr>
        <w:t>投标人应负责测试和考试的所有安排和费用。</w:t>
      </w:r>
    </w:p>
    <w:p w14:paraId="3D0D7E88">
      <w:pPr>
        <w:pStyle w:val="5"/>
        <w:rPr>
          <w:color w:val="auto"/>
          <w:szCs w:val="21"/>
        </w:rPr>
      </w:pPr>
      <w:r>
        <w:rPr>
          <w:rFonts w:hint="eastAsia"/>
          <w:color w:val="auto"/>
          <w:szCs w:val="21"/>
        </w:rPr>
        <w:t>对合格的学员应颁发证书。</w:t>
      </w:r>
    </w:p>
    <w:p w14:paraId="26A528C2">
      <w:pPr>
        <w:pStyle w:val="5"/>
        <w:rPr>
          <w:color w:val="auto"/>
          <w:szCs w:val="21"/>
        </w:rPr>
      </w:pPr>
      <w:r>
        <w:rPr>
          <w:rFonts w:hint="eastAsia"/>
          <w:color w:val="auto"/>
          <w:szCs w:val="21"/>
        </w:rPr>
        <w:t>招标人对培训任务的具体实施和最终完成情况进行监督和确认。</w:t>
      </w:r>
    </w:p>
    <w:p w14:paraId="1BA46039">
      <w:pPr>
        <w:ind w:firstLine="525" w:firstLineChars="250"/>
        <w:rPr>
          <w:sz w:val="21"/>
          <w:szCs w:val="21"/>
        </w:rPr>
        <w:sectPr>
          <w:footerReference r:id="rId10" w:type="default"/>
          <w:pgSz w:w="11906" w:h="16838"/>
          <w:pgMar w:top="1418" w:right="1418" w:bottom="1418" w:left="1418" w:header="851" w:footer="851" w:gutter="0"/>
          <w:cols w:space="720" w:num="1"/>
          <w:docGrid w:linePitch="312" w:charSpace="0"/>
        </w:sectPr>
      </w:pPr>
    </w:p>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p w14:paraId="28C9B096">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3031" w:name="_Toc290373485"/>
      <w:bookmarkStart w:id="3032" w:name="_Toc18390"/>
      <w:bookmarkStart w:id="3033" w:name="_Toc20601"/>
      <w:bookmarkStart w:id="3034" w:name="_Toc128223360"/>
      <w:bookmarkStart w:id="3035" w:name="_Toc213477323"/>
      <w:bookmarkStart w:id="3036" w:name="_Toc218144733"/>
      <w:bookmarkStart w:id="3037" w:name="_Toc214704520"/>
      <w:bookmarkStart w:id="3038" w:name="_Toc128137896"/>
      <w:bookmarkStart w:id="3039" w:name="_Toc128122991"/>
      <w:bookmarkStart w:id="3040" w:name="_Toc234326072"/>
      <w:bookmarkStart w:id="3041" w:name="_Toc128141257"/>
      <w:bookmarkStart w:id="3042" w:name="_Toc217105835"/>
      <w:bookmarkStart w:id="3043" w:name="_Toc212875175"/>
      <w:bookmarkStart w:id="3044" w:name="_Toc130291632"/>
      <w:bookmarkStart w:id="3045" w:name="_Toc128139680"/>
      <w:bookmarkStart w:id="3046" w:name="_Toc234326876"/>
      <w:bookmarkStart w:id="3047" w:name="_Toc259981605"/>
      <w:bookmarkStart w:id="3048" w:name="_Toc218142250"/>
      <w:bookmarkStart w:id="3049" w:name="_Toc128137480"/>
      <w:bookmarkStart w:id="3050" w:name="_Toc215885618"/>
      <w:bookmarkStart w:id="3051" w:name="_Toc218143941"/>
      <w:bookmarkStart w:id="3052" w:name="_Toc218145866"/>
      <w:bookmarkStart w:id="3053" w:name="_Toc128138775"/>
      <w:bookmarkStart w:id="3054" w:name="_Toc218143510"/>
      <w:bookmarkStart w:id="3055" w:name="_Toc218141999"/>
      <w:bookmarkStart w:id="3056" w:name="_Toc215889531"/>
      <w:bookmarkStart w:id="3057" w:name="_Toc128138158"/>
      <w:bookmarkStart w:id="3058" w:name="_Toc218144984"/>
      <w:bookmarkStart w:id="3059" w:name="_Toc218141280"/>
      <w:bookmarkStart w:id="3060" w:name="_Toc214704022"/>
      <w:bookmarkStart w:id="3061" w:name="_Toc131867961"/>
      <w:bookmarkStart w:id="3062" w:name="_Toc213406581"/>
      <w:bookmarkStart w:id="3063" w:name="_Toc128140088"/>
      <w:bookmarkStart w:id="3064" w:name="_Toc218141748"/>
      <w:bookmarkStart w:id="3065" w:name="_Toc128140655"/>
      <w:bookmarkStart w:id="3066" w:name="_Toc218145284"/>
      <w:bookmarkStart w:id="3067" w:name="_Toc214704271"/>
      <w:bookmarkStart w:id="3068" w:name="_Toc218147660"/>
      <w:bookmarkStart w:id="3069" w:name="_Toc218147409"/>
      <w:bookmarkStart w:id="3070" w:name="_Toc234325817"/>
      <w:bookmarkStart w:id="3071" w:name="_Toc222816894"/>
      <w:bookmarkStart w:id="3072" w:name="_Toc128141556"/>
      <w:bookmarkStart w:id="3073" w:name="_Toc128121021"/>
      <w:bookmarkStart w:id="3074" w:name="_Toc128121091"/>
      <w:bookmarkStart w:id="3075" w:name="_Toc128139186"/>
      <w:bookmarkStart w:id="3076" w:name="_Toc128139399"/>
      <w:bookmarkStart w:id="3077" w:name="_Toc218144231"/>
      <w:bookmarkStart w:id="3078" w:name="_Toc231185237"/>
      <w:bookmarkStart w:id="3079" w:name="_Toc213477569"/>
      <w:bookmarkStart w:id="3080" w:name="_Toc213407918"/>
      <w:bookmarkStart w:id="3081" w:name="_Toc234326608"/>
      <w:bookmarkStart w:id="3082" w:name="_Toc130876968"/>
      <w:bookmarkStart w:id="3083" w:name="_Toc218144482"/>
      <w:bookmarkStart w:id="3084" w:name="_Toc237702978"/>
      <w:bookmarkStart w:id="3085" w:name="_Toc128138404"/>
      <w:bookmarkStart w:id="3086" w:name="_Toc234326340"/>
      <w:bookmarkStart w:id="3087" w:name="_Toc128141079"/>
      <w:r>
        <w:rPr>
          <w:rFonts w:hint="eastAsia" w:ascii="Times New Roman" w:hAnsi="Times New Roman" w:eastAsia="宋体"/>
          <w:b/>
          <w:bCs/>
          <w:sz w:val="21"/>
          <w:szCs w:val="21"/>
        </w:rPr>
        <w:t>投标文件格式要求</w:t>
      </w:r>
      <w:bookmarkEnd w:id="3031"/>
      <w:bookmarkEnd w:id="3032"/>
      <w:bookmarkEnd w:id="3033"/>
    </w:p>
    <w:p w14:paraId="59FFB8C3">
      <w:pPr>
        <w:adjustRightInd w:val="0"/>
        <w:snapToGrid w:val="0"/>
        <w:ind w:firstLine="420" w:firstLineChars="200"/>
        <w:rPr>
          <w:sz w:val="21"/>
          <w:szCs w:val="21"/>
        </w:rPr>
      </w:pPr>
      <w:r>
        <w:rPr>
          <w:sz w:val="21"/>
          <w:szCs w:val="21"/>
        </w:rPr>
        <w:t>投标人</w:t>
      </w:r>
      <w:r>
        <w:rPr>
          <w:rFonts w:hint="eastAsia"/>
          <w:sz w:val="21"/>
          <w:szCs w:val="21"/>
        </w:rPr>
        <w:t>应详细阅读技术部分的内容，严格按照技术部分各章节的具体要求和招标文件的格式要求编制投标文件。</w:t>
      </w:r>
    </w:p>
    <w:p w14:paraId="641823E9">
      <w:pPr>
        <w:pStyle w:val="4"/>
        <w:rPr>
          <w:sz w:val="21"/>
          <w:szCs w:val="21"/>
        </w:rPr>
      </w:pPr>
      <w:bookmarkStart w:id="3088" w:name="_Toc524400761"/>
      <w:bookmarkStart w:id="3089" w:name="_Toc524402007"/>
      <w:bookmarkStart w:id="3090" w:name="_Toc144523709"/>
      <w:bookmarkStart w:id="3091" w:name="_Toc182030216"/>
      <w:bookmarkStart w:id="3092" w:name="_Toc24654"/>
      <w:bookmarkStart w:id="3093" w:name="_Toc290373486"/>
      <w:bookmarkStart w:id="3094" w:name="_Toc20525"/>
      <w:r>
        <w:rPr>
          <w:sz w:val="21"/>
          <w:szCs w:val="21"/>
        </w:rPr>
        <w:t>基本要求</w:t>
      </w:r>
      <w:bookmarkEnd w:id="3088"/>
      <w:bookmarkEnd w:id="3089"/>
      <w:bookmarkEnd w:id="3090"/>
      <w:bookmarkEnd w:id="3091"/>
      <w:bookmarkEnd w:id="3092"/>
      <w:bookmarkEnd w:id="3093"/>
      <w:bookmarkEnd w:id="3094"/>
    </w:p>
    <w:p w14:paraId="0CC59342">
      <w:pPr>
        <w:pStyle w:val="5"/>
        <w:rPr>
          <w:color w:val="auto"/>
          <w:szCs w:val="21"/>
        </w:rPr>
      </w:pPr>
      <w:r>
        <w:rPr>
          <w:color w:val="auto"/>
          <w:szCs w:val="21"/>
        </w:rPr>
        <w:t>投标文件应使用不能轻易擦去且不易退色的档案墨水书写或打印，不论书写或打印，均应做到清晰、整洁。投标文件应有编页和目录（所附的企业简介及产品介绍等可不编页，但宜在其前面增加可通过目录索引的编有页码的附加页）。</w:t>
      </w:r>
    </w:p>
    <w:p w14:paraId="3CC21880">
      <w:pPr>
        <w:pStyle w:val="5"/>
        <w:rPr>
          <w:color w:val="auto"/>
          <w:szCs w:val="21"/>
        </w:rPr>
      </w:pPr>
      <w:r>
        <w:rPr>
          <w:color w:val="auto"/>
          <w:szCs w:val="21"/>
        </w:rPr>
        <w:t>投标人应根据本</w:t>
      </w:r>
      <w:r>
        <w:rPr>
          <w:rFonts w:hint="eastAsia"/>
          <w:color w:val="auto"/>
          <w:szCs w:val="21"/>
        </w:rPr>
        <w:t>用户需求书</w:t>
      </w:r>
      <w:r>
        <w:rPr>
          <w:color w:val="auto"/>
          <w:szCs w:val="21"/>
        </w:rPr>
        <w:t>的内容按章节先后顺序</w:t>
      </w:r>
      <w:r>
        <w:rPr>
          <w:rFonts w:hint="eastAsia"/>
          <w:color w:val="auto"/>
          <w:szCs w:val="21"/>
        </w:rPr>
        <w:t>依次</w:t>
      </w:r>
      <w:r>
        <w:rPr>
          <w:color w:val="auto"/>
          <w:szCs w:val="21"/>
        </w:rPr>
        <w:t>将各项指标一一列入表中，并对应填入响应情况和必要的说明，以供专家评标。填入内容应真实可靠，否则可能导致废标。</w:t>
      </w:r>
    </w:p>
    <w:p w14:paraId="0A6F9FDC">
      <w:pPr>
        <w:pStyle w:val="4"/>
        <w:rPr>
          <w:sz w:val="21"/>
          <w:szCs w:val="21"/>
        </w:rPr>
      </w:pPr>
      <w:bookmarkStart w:id="3095" w:name="_Toc22811"/>
      <w:bookmarkStart w:id="3096" w:name="_Toc524402008"/>
      <w:bookmarkStart w:id="3097" w:name="_Toc524400762"/>
      <w:bookmarkStart w:id="3098" w:name="_Toc144523710"/>
      <w:bookmarkStart w:id="3099" w:name="_Toc290373487"/>
      <w:bookmarkStart w:id="3100" w:name="_Toc19092"/>
      <w:bookmarkStart w:id="3101" w:name="_Toc182030217"/>
      <w:r>
        <w:rPr>
          <w:sz w:val="21"/>
          <w:szCs w:val="21"/>
        </w:rPr>
        <w:t>采用的语言和单位制</w:t>
      </w:r>
      <w:bookmarkEnd w:id="3095"/>
      <w:bookmarkEnd w:id="3096"/>
      <w:bookmarkEnd w:id="3097"/>
      <w:bookmarkEnd w:id="3098"/>
      <w:bookmarkEnd w:id="3099"/>
      <w:bookmarkEnd w:id="3100"/>
      <w:bookmarkEnd w:id="3101"/>
    </w:p>
    <w:p w14:paraId="234C8789">
      <w:pPr>
        <w:adjustRightInd w:val="0"/>
        <w:snapToGrid w:val="0"/>
        <w:ind w:firstLine="420" w:firstLineChars="200"/>
        <w:rPr>
          <w:sz w:val="21"/>
          <w:szCs w:val="21"/>
        </w:rPr>
      </w:pPr>
      <w:r>
        <w:rPr>
          <w:sz w:val="21"/>
          <w:szCs w:val="21"/>
        </w:rPr>
        <w:t>除非有特殊规定，投标文件及投标人与招标人、采购方之间与投标有关的所有来往通知、函件及文件均使用中文，并采用国际单位制（SI制）及通用（标准）图形和符号。</w:t>
      </w:r>
    </w:p>
    <w:p w14:paraId="552A4CD7">
      <w:pPr>
        <w:pStyle w:val="4"/>
        <w:rPr>
          <w:sz w:val="21"/>
          <w:szCs w:val="21"/>
        </w:rPr>
      </w:pPr>
      <w:bookmarkStart w:id="3102" w:name="_Toc182030218"/>
      <w:bookmarkStart w:id="3103" w:name="_Toc16074"/>
      <w:bookmarkStart w:id="3104" w:name="_Toc144523711"/>
      <w:bookmarkStart w:id="3105" w:name="_Toc24387"/>
      <w:bookmarkStart w:id="3106" w:name="_Toc524400763"/>
      <w:bookmarkStart w:id="3107" w:name="_Toc524402009"/>
      <w:bookmarkStart w:id="3108" w:name="_Toc290373488"/>
      <w:r>
        <w:rPr>
          <w:sz w:val="21"/>
          <w:szCs w:val="21"/>
        </w:rPr>
        <w:t>文件、图纸幅面的规定</w:t>
      </w:r>
      <w:bookmarkEnd w:id="3102"/>
      <w:bookmarkEnd w:id="3103"/>
      <w:bookmarkEnd w:id="3104"/>
      <w:bookmarkEnd w:id="3105"/>
      <w:bookmarkEnd w:id="3106"/>
      <w:bookmarkEnd w:id="3107"/>
      <w:bookmarkEnd w:id="3108"/>
    </w:p>
    <w:p w14:paraId="2C13A311">
      <w:pPr>
        <w:pStyle w:val="5"/>
        <w:rPr>
          <w:color w:val="auto"/>
          <w:szCs w:val="21"/>
        </w:rPr>
      </w:pPr>
      <w:r>
        <w:rPr>
          <w:color w:val="auto"/>
          <w:szCs w:val="21"/>
        </w:rPr>
        <w:t>除非有特殊规定，投标文件及投标人与招标人、采购方之间与投标有关的所有来往通知、函件及文件均使用A4幅面的纸张。</w:t>
      </w:r>
    </w:p>
    <w:p w14:paraId="566ABF2A">
      <w:pPr>
        <w:pStyle w:val="5"/>
        <w:rPr>
          <w:color w:val="auto"/>
          <w:szCs w:val="21"/>
        </w:rPr>
      </w:pPr>
      <w:r>
        <w:rPr>
          <w:color w:val="auto"/>
          <w:szCs w:val="21"/>
        </w:rPr>
        <w:t>图纸的图幅不限，但应分册装订。</w:t>
      </w:r>
    </w:p>
    <w:p w14:paraId="4DFF5BF3">
      <w:pPr>
        <w:pStyle w:val="4"/>
        <w:rPr>
          <w:sz w:val="21"/>
          <w:szCs w:val="21"/>
        </w:rPr>
      </w:pPr>
      <w:bookmarkStart w:id="3109" w:name="_Toc32468"/>
      <w:bookmarkStart w:id="3110" w:name="_Toc290373489"/>
      <w:bookmarkStart w:id="3111" w:name="_Toc7889"/>
      <w:r>
        <w:rPr>
          <w:rFonts w:hint="eastAsia"/>
          <w:sz w:val="21"/>
          <w:szCs w:val="21"/>
        </w:rPr>
        <w:t>格式</w:t>
      </w:r>
      <w:r>
        <w:rPr>
          <w:sz w:val="21"/>
          <w:szCs w:val="21"/>
        </w:rPr>
        <w:t>要求</w:t>
      </w:r>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109"/>
      <w:bookmarkEnd w:id="3110"/>
      <w:bookmarkEnd w:id="3111"/>
    </w:p>
    <w:p w14:paraId="4B17586E">
      <w:pPr>
        <w:pStyle w:val="5"/>
        <w:rPr>
          <w:color w:val="auto"/>
          <w:szCs w:val="21"/>
        </w:rPr>
      </w:pPr>
      <w:r>
        <w:rPr>
          <w:color w:val="auto"/>
          <w:szCs w:val="21"/>
        </w:rPr>
        <w:t>投标文件技术部分共</w:t>
      </w:r>
      <w:r>
        <w:rPr>
          <w:rFonts w:hint="eastAsia"/>
          <w:color w:val="auto"/>
          <w:szCs w:val="21"/>
        </w:rPr>
        <w:t>一</w:t>
      </w:r>
      <w:r>
        <w:rPr>
          <w:color w:val="auto"/>
          <w:szCs w:val="21"/>
        </w:rPr>
        <w:t>册</w:t>
      </w:r>
      <w:r>
        <w:rPr>
          <w:rFonts w:hint="eastAsia"/>
          <w:color w:val="auto"/>
          <w:szCs w:val="21"/>
        </w:rPr>
        <w:t>，分为十</w:t>
      </w:r>
      <w:r>
        <w:rPr>
          <w:rFonts w:hint="eastAsia"/>
          <w:color w:val="auto"/>
          <w:szCs w:val="21"/>
          <w:lang w:val="en-US"/>
        </w:rPr>
        <w:t>三</w:t>
      </w:r>
      <w:r>
        <w:rPr>
          <w:rFonts w:hint="eastAsia"/>
          <w:color w:val="auto"/>
          <w:szCs w:val="21"/>
        </w:rPr>
        <w:t>章</w:t>
      </w:r>
      <w:r>
        <w:rPr>
          <w:color w:val="auto"/>
          <w:szCs w:val="21"/>
        </w:rPr>
        <w:t>，第一章</w:t>
      </w:r>
      <w:r>
        <w:rPr>
          <w:color w:val="auto"/>
        </w:rPr>
        <w:t>技术规范偏离表</w:t>
      </w:r>
      <w:r>
        <w:rPr>
          <w:rFonts w:hint="eastAsia"/>
          <w:color w:val="auto"/>
          <w:szCs w:val="21"/>
        </w:rPr>
        <w:t>；第二章技术建议书；第三章</w:t>
      </w:r>
      <w:r>
        <w:rPr>
          <w:color w:val="auto"/>
        </w:rPr>
        <w:t>系统设备供货清单</w:t>
      </w:r>
      <w:r>
        <w:rPr>
          <w:rFonts w:hint="eastAsia"/>
          <w:color w:val="auto"/>
          <w:szCs w:val="21"/>
        </w:rPr>
        <w:t>；第四章</w:t>
      </w:r>
      <w:r>
        <w:rPr>
          <w:rFonts w:hint="eastAsia"/>
          <w:color w:val="auto"/>
          <w:szCs w:val="21"/>
          <w:lang w:val="en-US"/>
        </w:rPr>
        <w:t>项目实施进度计划</w:t>
      </w:r>
      <w:r>
        <w:rPr>
          <w:rFonts w:hint="eastAsia"/>
          <w:color w:val="auto"/>
          <w:szCs w:val="21"/>
        </w:rPr>
        <w:t>；第五章任务、职责范围及接口计划建议书；第</w:t>
      </w:r>
      <w:r>
        <w:rPr>
          <w:rFonts w:hint="eastAsia"/>
          <w:color w:val="auto"/>
          <w:szCs w:val="21"/>
          <w:lang w:val="en-US"/>
        </w:rPr>
        <w:t>六</w:t>
      </w:r>
      <w:r>
        <w:rPr>
          <w:rFonts w:hint="eastAsia"/>
          <w:color w:val="auto"/>
          <w:szCs w:val="21"/>
        </w:rPr>
        <w:t>章项目管理</w:t>
      </w:r>
      <w:r>
        <w:rPr>
          <w:rFonts w:hint="eastAsia"/>
          <w:color w:val="auto"/>
          <w:szCs w:val="21"/>
          <w:lang w:val="en-US"/>
        </w:rPr>
        <w:t>计划书</w:t>
      </w:r>
      <w:r>
        <w:rPr>
          <w:rFonts w:hint="eastAsia"/>
          <w:color w:val="auto"/>
          <w:szCs w:val="21"/>
        </w:rPr>
        <w:t>；第</w:t>
      </w:r>
      <w:r>
        <w:rPr>
          <w:rFonts w:hint="eastAsia"/>
          <w:color w:val="auto"/>
          <w:szCs w:val="21"/>
          <w:lang w:val="en-US"/>
        </w:rPr>
        <w:t>七</w:t>
      </w:r>
      <w:r>
        <w:rPr>
          <w:rFonts w:hint="eastAsia"/>
          <w:color w:val="auto"/>
          <w:szCs w:val="21"/>
        </w:rPr>
        <w:t>章</w:t>
      </w:r>
      <w:r>
        <w:rPr>
          <w:rFonts w:hint="eastAsia"/>
          <w:color w:val="auto"/>
          <w:szCs w:val="21"/>
          <w:lang w:eastAsia="zh-CN"/>
        </w:rPr>
        <w:t>技术</w:t>
      </w:r>
      <w:r>
        <w:rPr>
          <w:rFonts w:hint="eastAsia"/>
          <w:color w:val="auto"/>
          <w:szCs w:val="21"/>
        </w:rPr>
        <w:t>联络</w:t>
      </w:r>
      <w:r>
        <w:rPr>
          <w:rFonts w:hint="eastAsia"/>
          <w:color w:val="auto"/>
          <w:szCs w:val="21"/>
          <w:lang w:val="en-US"/>
        </w:rPr>
        <w:t>建议书</w:t>
      </w:r>
      <w:r>
        <w:rPr>
          <w:rFonts w:hint="eastAsia"/>
          <w:color w:val="auto"/>
          <w:szCs w:val="21"/>
        </w:rPr>
        <w:t>；第</w:t>
      </w:r>
      <w:r>
        <w:rPr>
          <w:rFonts w:hint="eastAsia"/>
          <w:color w:val="auto"/>
          <w:szCs w:val="21"/>
          <w:lang w:val="en-US"/>
        </w:rPr>
        <w:t>八</w:t>
      </w:r>
      <w:r>
        <w:rPr>
          <w:rFonts w:hint="eastAsia"/>
          <w:color w:val="auto"/>
          <w:szCs w:val="21"/>
        </w:rPr>
        <w:t>章系统质量保证</w:t>
      </w:r>
      <w:r>
        <w:rPr>
          <w:rFonts w:hint="eastAsia"/>
          <w:color w:val="auto"/>
          <w:szCs w:val="21"/>
          <w:lang w:val="en-US"/>
        </w:rPr>
        <w:t>计划书</w:t>
      </w:r>
      <w:r>
        <w:rPr>
          <w:rFonts w:hint="eastAsia"/>
          <w:color w:val="auto"/>
          <w:szCs w:val="21"/>
        </w:rPr>
        <w:t>；第</w:t>
      </w:r>
      <w:r>
        <w:rPr>
          <w:rFonts w:hint="eastAsia"/>
          <w:color w:val="auto"/>
          <w:szCs w:val="21"/>
          <w:lang w:val="en-US"/>
        </w:rPr>
        <w:t>九</w:t>
      </w:r>
      <w:r>
        <w:rPr>
          <w:rFonts w:hint="eastAsia"/>
          <w:color w:val="auto"/>
          <w:szCs w:val="21"/>
        </w:rPr>
        <w:t>章测试、检验及验收计划建议书；第十章图纸、手册和技术文件清单及说明；第十</w:t>
      </w:r>
      <w:r>
        <w:rPr>
          <w:rFonts w:hint="eastAsia"/>
          <w:color w:val="auto"/>
          <w:szCs w:val="21"/>
          <w:lang w:val="en-US"/>
        </w:rPr>
        <w:t>一</w:t>
      </w:r>
      <w:r>
        <w:rPr>
          <w:rFonts w:hint="eastAsia"/>
          <w:color w:val="auto"/>
          <w:szCs w:val="21"/>
        </w:rPr>
        <w:t>章</w:t>
      </w:r>
      <w:r>
        <w:rPr>
          <w:rFonts w:hint="eastAsia"/>
          <w:color w:val="auto"/>
          <w:szCs w:val="21"/>
          <w:lang w:val="en-US"/>
        </w:rPr>
        <w:t>培训建议书</w:t>
      </w:r>
      <w:r>
        <w:rPr>
          <w:rFonts w:hint="eastAsia"/>
          <w:color w:val="auto"/>
          <w:szCs w:val="21"/>
        </w:rPr>
        <w:t>；第十</w:t>
      </w:r>
      <w:r>
        <w:rPr>
          <w:rFonts w:hint="eastAsia"/>
          <w:color w:val="auto"/>
          <w:szCs w:val="21"/>
          <w:lang w:val="en-US"/>
        </w:rPr>
        <w:t>二</w:t>
      </w:r>
      <w:r>
        <w:rPr>
          <w:rFonts w:hint="eastAsia"/>
          <w:color w:val="auto"/>
          <w:szCs w:val="21"/>
        </w:rPr>
        <w:t>章质保期内的运营维护；第十</w:t>
      </w:r>
      <w:r>
        <w:rPr>
          <w:rFonts w:hint="eastAsia"/>
          <w:color w:val="auto"/>
          <w:szCs w:val="21"/>
          <w:lang w:val="en-US"/>
        </w:rPr>
        <w:t>三</w:t>
      </w:r>
      <w:r>
        <w:rPr>
          <w:rFonts w:hint="eastAsia"/>
          <w:color w:val="auto"/>
          <w:szCs w:val="21"/>
        </w:rPr>
        <w:t>章投标人的专项承诺。</w:t>
      </w:r>
      <w:r>
        <w:rPr>
          <w:color w:val="auto"/>
          <w:szCs w:val="21"/>
        </w:rPr>
        <w:t>技术部分文件</w:t>
      </w:r>
      <w:r>
        <w:rPr>
          <w:rFonts w:hint="eastAsia"/>
          <w:color w:val="auto"/>
          <w:szCs w:val="21"/>
        </w:rPr>
        <w:t>须</w:t>
      </w:r>
      <w:r>
        <w:rPr>
          <w:color w:val="auto"/>
          <w:szCs w:val="21"/>
        </w:rPr>
        <w:t>按以下格式及内容要求编制。</w:t>
      </w:r>
      <w:bookmarkStart w:id="3112" w:name="_Toc128141080"/>
      <w:bookmarkStart w:id="3113" w:name="_Toc214704272"/>
      <w:bookmarkStart w:id="3114" w:name="_Toc128138159"/>
      <w:bookmarkStart w:id="3115" w:name="_Toc128137897"/>
      <w:bookmarkStart w:id="3116" w:name="_Toc214704521"/>
      <w:bookmarkStart w:id="3117" w:name="_Toc128137481"/>
      <w:bookmarkStart w:id="3118" w:name="_Toc213477324"/>
      <w:bookmarkStart w:id="3119" w:name="_Toc128138776"/>
      <w:bookmarkStart w:id="3120" w:name="_Toc128122992"/>
      <w:bookmarkStart w:id="3121" w:name="_Toc128121022"/>
      <w:bookmarkStart w:id="3122" w:name="_Toc212875176"/>
      <w:bookmarkStart w:id="3123" w:name="_Toc131867962"/>
      <w:bookmarkStart w:id="3124" w:name="_Toc128140089"/>
      <w:bookmarkStart w:id="3125" w:name="_Toc128223361"/>
      <w:bookmarkStart w:id="3126" w:name="_Toc128138405"/>
      <w:bookmarkStart w:id="3127" w:name="_Toc128140656"/>
      <w:bookmarkStart w:id="3128" w:name="_Toc128139187"/>
      <w:bookmarkStart w:id="3129" w:name="_Toc213477570"/>
      <w:bookmarkStart w:id="3130" w:name="_Toc214704023"/>
      <w:bookmarkStart w:id="3131" w:name="_Toc128139681"/>
      <w:bookmarkStart w:id="3132" w:name="_Toc213407919"/>
      <w:bookmarkStart w:id="3133" w:name="_Toc128139400"/>
      <w:bookmarkStart w:id="3134" w:name="_Toc215885619"/>
      <w:bookmarkStart w:id="3135" w:name="_Toc217105836"/>
      <w:bookmarkStart w:id="3136" w:name="_Toc215889532"/>
    </w:p>
    <w:p w14:paraId="00C016C6">
      <w:pPr>
        <w:pStyle w:val="4"/>
        <w:rPr>
          <w:sz w:val="21"/>
          <w:szCs w:val="21"/>
        </w:rPr>
      </w:pPr>
      <w:bookmarkStart w:id="3137" w:name="_Toc237702979"/>
      <w:bookmarkStart w:id="3138" w:name="_Toc218144483"/>
      <w:bookmarkStart w:id="3139" w:name="_Toc259981606"/>
      <w:bookmarkStart w:id="3140" w:name="_Toc218147661"/>
      <w:bookmarkStart w:id="3141" w:name="_Toc234326341"/>
      <w:bookmarkStart w:id="3142" w:name="_Toc234326073"/>
      <w:bookmarkStart w:id="3143" w:name="_Toc218147410"/>
      <w:bookmarkStart w:id="3144" w:name="_Toc218143511"/>
      <w:bookmarkStart w:id="3145" w:name="_Toc218142000"/>
      <w:bookmarkStart w:id="3146" w:name="_Toc218144734"/>
      <w:bookmarkStart w:id="3147" w:name="_Toc218141281"/>
      <w:bookmarkStart w:id="3148" w:name="_Toc218144232"/>
      <w:bookmarkStart w:id="3149" w:name="_Toc21490"/>
      <w:bookmarkStart w:id="3150" w:name="_Toc234326877"/>
      <w:bookmarkStart w:id="3151" w:name="_Toc218143942"/>
      <w:bookmarkStart w:id="3152" w:name="_Toc290373490"/>
      <w:bookmarkStart w:id="3153" w:name="_Toc218141749"/>
      <w:bookmarkStart w:id="3154" w:name="_Toc218145285"/>
      <w:bookmarkStart w:id="3155" w:name="_Toc218142251"/>
      <w:bookmarkStart w:id="3156" w:name="_Toc234326609"/>
      <w:bookmarkStart w:id="3157" w:name="_Toc218144985"/>
      <w:bookmarkStart w:id="3158" w:name="_Toc16118"/>
      <w:bookmarkStart w:id="3159" w:name="_Toc218145867"/>
      <w:bookmarkStart w:id="3160" w:name="_Toc231185238"/>
      <w:r>
        <w:rPr>
          <w:sz w:val="21"/>
          <w:szCs w:val="21"/>
        </w:rPr>
        <w:t>技术规范</w:t>
      </w:r>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r>
        <w:rPr>
          <w:sz w:val="21"/>
          <w:szCs w:val="21"/>
        </w:rPr>
        <w:t>偏离表内容</w:t>
      </w:r>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p>
    <w:p w14:paraId="73C60D45">
      <w:pPr>
        <w:pStyle w:val="5"/>
        <w:rPr>
          <w:color w:val="auto"/>
          <w:szCs w:val="21"/>
        </w:rPr>
      </w:pPr>
      <w:r>
        <w:rPr>
          <w:color w:val="auto"/>
          <w:szCs w:val="21"/>
        </w:rPr>
        <w:t>投标人应仔细阅读本招标</w:t>
      </w:r>
      <w:r>
        <w:rPr>
          <w:rFonts w:hint="eastAsia"/>
          <w:color w:val="auto"/>
          <w:szCs w:val="21"/>
        </w:rPr>
        <w:t>文件</w:t>
      </w:r>
      <w:r>
        <w:rPr>
          <w:color w:val="auto"/>
          <w:szCs w:val="21"/>
        </w:rPr>
        <w:t>中规定的所有条款，对技术部分条款有偏离的逐一填写“</w:t>
      </w:r>
      <w:r>
        <w:rPr>
          <w:rFonts w:hint="eastAsia"/>
          <w:color w:val="auto"/>
          <w:szCs w:val="21"/>
        </w:rPr>
        <w:t>完全响应或</w:t>
      </w:r>
      <w:r>
        <w:rPr>
          <w:color w:val="auto"/>
          <w:szCs w:val="21"/>
        </w:rPr>
        <w:t>偏离”</w:t>
      </w:r>
      <w:r>
        <w:rPr>
          <w:rFonts w:hint="eastAsia"/>
          <w:color w:val="auto"/>
          <w:szCs w:val="21"/>
        </w:rPr>
        <w:t>，</w:t>
      </w:r>
      <w:r>
        <w:rPr>
          <w:color w:val="auto"/>
          <w:szCs w:val="21"/>
        </w:rPr>
        <w:t>偏离的详细描述也可另</w:t>
      </w:r>
      <w:r>
        <w:rPr>
          <w:rFonts w:hint="eastAsia"/>
          <w:color w:val="auto"/>
          <w:szCs w:val="21"/>
        </w:rPr>
        <w:t>附。</w:t>
      </w:r>
      <w:r>
        <w:rPr>
          <w:color w:val="auto"/>
          <w:szCs w:val="21"/>
        </w:rPr>
        <w:t>技术规范偏离以外的内容，招标人视为投标人均满足标书要求</w:t>
      </w:r>
      <w:r>
        <w:rPr>
          <w:rFonts w:hint="eastAsia"/>
          <w:color w:val="auto"/>
          <w:szCs w:val="21"/>
        </w:rPr>
        <w:t>，无论是否填写</w:t>
      </w:r>
      <w:r>
        <w:rPr>
          <w:color w:val="auto"/>
          <w:szCs w:val="21"/>
        </w:rPr>
        <w:t>。偏离分两类，一类为</w:t>
      </w:r>
      <w:r>
        <w:rPr>
          <w:rFonts w:hint="eastAsia"/>
          <w:color w:val="auto"/>
          <w:szCs w:val="21"/>
        </w:rPr>
        <w:t>正</w:t>
      </w:r>
      <w:r>
        <w:rPr>
          <w:color w:val="auto"/>
          <w:szCs w:val="21"/>
        </w:rPr>
        <w:t>偏离，另一类为</w:t>
      </w:r>
      <w:r>
        <w:rPr>
          <w:rFonts w:hint="eastAsia"/>
          <w:color w:val="auto"/>
          <w:szCs w:val="21"/>
        </w:rPr>
        <w:t>负</w:t>
      </w:r>
      <w:r>
        <w:rPr>
          <w:color w:val="auto"/>
          <w:szCs w:val="21"/>
        </w:rPr>
        <w:t>偏离。</w:t>
      </w:r>
    </w:p>
    <w:p w14:paraId="4809D8FF">
      <w:pPr>
        <w:snapToGrid w:val="0"/>
        <w:ind w:left="480" w:leftChars="200"/>
        <w:jc w:val="both"/>
        <w:rPr>
          <w:sz w:val="21"/>
          <w:szCs w:val="21"/>
        </w:rPr>
      </w:pPr>
      <w:r>
        <w:rPr>
          <w:sz w:val="21"/>
          <w:szCs w:val="21"/>
        </w:rPr>
        <w:t>技术偏离内容一览表（优于偏离表）</w:t>
      </w:r>
      <w:r>
        <w:rPr>
          <w:rFonts w:hint="eastAsia"/>
          <w:sz w:val="21"/>
          <w:szCs w:val="21"/>
        </w:rPr>
        <w:t xml:space="preserve">            表13.5.1-1</w:t>
      </w:r>
    </w:p>
    <w:tbl>
      <w:tblPr>
        <w:tblStyle w:val="87"/>
        <w:tblW w:w="7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9"/>
        <w:gridCol w:w="1440"/>
        <w:gridCol w:w="1200"/>
        <w:gridCol w:w="2520"/>
      </w:tblGrid>
      <w:tr w14:paraId="62E0B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2649" w:type="dxa"/>
            <w:tcBorders>
              <w:bottom w:val="single" w:color="auto" w:sz="4" w:space="0"/>
            </w:tcBorders>
            <w:shd w:val="clear" w:color="auto" w:fill="B3B3B3"/>
            <w:vAlign w:val="center"/>
          </w:tcPr>
          <w:p w14:paraId="5E304424">
            <w:pPr>
              <w:ind w:left="0" w:firstLine="0"/>
              <w:jc w:val="both"/>
              <w:rPr>
                <w:rFonts w:ascii="宋体" w:hAnsi="宋体"/>
                <w:spacing w:val="1"/>
                <w:sz w:val="21"/>
                <w:szCs w:val="21"/>
              </w:rPr>
            </w:pPr>
            <w:r>
              <w:rPr>
                <w:rFonts w:ascii="宋体" w:hAnsi="宋体"/>
                <w:spacing w:val="1"/>
                <w:sz w:val="21"/>
                <w:szCs w:val="21"/>
              </w:rPr>
              <w:t>技术部分章节/条款编号</w:t>
            </w:r>
          </w:p>
        </w:tc>
        <w:tc>
          <w:tcPr>
            <w:tcW w:w="1440" w:type="dxa"/>
            <w:tcBorders>
              <w:bottom w:val="single" w:color="auto" w:sz="4" w:space="0"/>
            </w:tcBorders>
            <w:shd w:val="clear" w:color="auto" w:fill="B3B3B3"/>
            <w:vAlign w:val="center"/>
          </w:tcPr>
          <w:p w14:paraId="0ADFA46F">
            <w:pPr>
              <w:ind w:left="0" w:firstLine="0"/>
              <w:jc w:val="both"/>
              <w:rPr>
                <w:rFonts w:ascii="宋体" w:hAnsi="宋体"/>
                <w:spacing w:val="1"/>
                <w:sz w:val="21"/>
                <w:szCs w:val="21"/>
              </w:rPr>
            </w:pPr>
            <w:r>
              <w:rPr>
                <w:rFonts w:ascii="宋体" w:hAnsi="宋体"/>
                <w:spacing w:val="1"/>
                <w:sz w:val="21"/>
                <w:szCs w:val="21"/>
              </w:rPr>
              <w:t>原条款内容</w:t>
            </w:r>
          </w:p>
        </w:tc>
        <w:tc>
          <w:tcPr>
            <w:tcW w:w="1200" w:type="dxa"/>
            <w:tcBorders>
              <w:bottom w:val="single" w:color="auto" w:sz="4" w:space="0"/>
            </w:tcBorders>
            <w:shd w:val="clear" w:color="auto" w:fill="B3B3B3"/>
            <w:vAlign w:val="center"/>
          </w:tcPr>
          <w:p w14:paraId="27888FA7">
            <w:pPr>
              <w:ind w:left="0" w:firstLine="0"/>
              <w:jc w:val="both"/>
              <w:rPr>
                <w:rFonts w:ascii="宋体" w:hAnsi="宋体"/>
                <w:spacing w:val="1"/>
                <w:sz w:val="21"/>
                <w:szCs w:val="21"/>
              </w:rPr>
            </w:pPr>
            <w:r>
              <w:rPr>
                <w:rFonts w:ascii="宋体" w:hAnsi="宋体"/>
                <w:spacing w:val="1"/>
                <w:sz w:val="21"/>
                <w:szCs w:val="21"/>
              </w:rPr>
              <w:t>偏离</w:t>
            </w:r>
          </w:p>
        </w:tc>
        <w:tc>
          <w:tcPr>
            <w:tcW w:w="2520" w:type="dxa"/>
            <w:tcBorders>
              <w:top w:val="single" w:color="auto" w:sz="4" w:space="0"/>
              <w:bottom w:val="single" w:color="auto" w:sz="4" w:space="0"/>
            </w:tcBorders>
            <w:shd w:val="clear" w:color="auto" w:fill="B3B3B3"/>
            <w:vAlign w:val="center"/>
          </w:tcPr>
          <w:p w14:paraId="4C6F5FBF">
            <w:pPr>
              <w:ind w:left="0" w:firstLine="0"/>
              <w:jc w:val="both"/>
              <w:rPr>
                <w:rFonts w:ascii="宋体" w:hAnsi="宋体"/>
                <w:spacing w:val="1"/>
                <w:sz w:val="21"/>
                <w:szCs w:val="21"/>
              </w:rPr>
            </w:pPr>
            <w:r>
              <w:rPr>
                <w:rFonts w:ascii="宋体" w:hAnsi="宋体"/>
                <w:spacing w:val="1"/>
                <w:sz w:val="21"/>
                <w:szCs w:val="21"/>
              </w:rPr>
              <w:t>偏离的详细描述</w:t>
            </w:r>
          </w:p>
        </w:tc>
      </w:tr>
      <w:tr w14:paraId="5715B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649" w:type="dxa"/>
            <w:vAlign w:val="center"/>
          </w:tcPr>
          <w:p w14:paraId="04AF68BF">
            <w:pPr>
              <w:ind w:left="0" w:firstLine="0"/>
              <w:jc w:val="both"/>
              <w:rPr>
                <w:rFonts w:ascii="宋体" w:hAnsi="宋体"/>
                <w:spacing w:val="1"/>
              </w:rPr>
            </w:pPr>
          </w:p>
        </w:tc>
        <w:tc>
          <w:tcPr>
            <w:tcW w:w="1440" w:type="dxa"/>
            <w:vAlign w:val="center"/>
          </w:tcPr>
          <w:p w14:paraId="11C968D3">
            <w:pPr>
              <w:ind w:left="0" w:firstLine="0"/>
              <w:jc w:val="both"/>
              <w:rPr>
                <w:rFonts w:ascii="宋体" w:hAnsi="宋体"/>
                <w:spacing w:val="1"/>
              </w:rPr>
            </w:pPr>
          </w:p>
        </w:tc>
        <w:tc>
          <w:tcPr>
            <w:tcW w:w="1200" w:type="dxa"/>
            <w:vAlign w:val="center"/>
          </w:tcPr>
          <w:p w14:paraId="0C2D62EC">
            <w:pPr>
              <w:ind w:left="0" w:firstLine="0"/>
              <w:jc w:val="both"/>
              <w:rPr>
                <w:rFonts w:ascii="宋体" w:hAnsi="宋体"/>
                <w:spacing w:val="1"/>
              </w:rPr>
            </w:pPr>
          </w:p>
        </w:tc>
        <w:tc>
          <w:tcPr>
            <w:tcW w:w="2520" w:type="dxa"/>
            <w:vAlign w:val="center"/>
          </w:tcPr>
          <w:p w14:paraId="7239259B">
            <w:pPr>
              <w:ind w:left="0" w:firstLine="0"/>
              <w:jc w:val="both"/>
              <w:rPr>
                <w:rFonts w:ascii="宋体" w:hAnsi="宋体"/>
                <w:spacing w:val="1"/>
              </w:rPr>
            </w:pPr>
          </w:p>
        </w:tc>
      </w:tr>
      <w:tr w14:paraId="2C3E9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649" w:type="dxa"/>
            <w:vAlign w:val="center"/>
          </w:tcPr>
          <w:p w14:paraId="2E550C70">
            <w:pPr>
              <w:ind w:left="0" w:firstLine="0"/>
              <w:jc w:val="both"/>
              <w:rPr>
                <w:rFonts w:ascii="宋体" w:hAnsi="宋体"/>
                <w:spacing w:val="1"/>
              </w:rPr>
            </w:pPr>
          </w:p>
        </w:tc>
        <w:tc>
          <w:tcPr>
            <w:tcW w:w="1440" w:type="dxa"/>
            <w:vAlign w:val="center"/>
          </w:tcPr>
          <w:p w14:paraId="4BDB047B">
            <w:pPr>
              <w:ind w:left="0" w:firstLine="0"/>
              <w:jc w:val="both"/>
              <w:rPr>
                <w:rFonts w:ascii="宋体" w:hAnsi="宋体"/>
                <w:spacing w:val="1"/>
              </w:rPr>
            </w:pPr>
          </w:p>
        </w:tc>
        <w:tc>
          <w:tcPr>
            <w:tcW w:w="1200" w:type="dxa"/>
            <w:vAlign w:val="center"/>
          </w:tcPr>
          <w:p w14:paraId="42E8E4CC">
            <w:pPr>
              <w:ind w:left="0" w:firstLine="0"/>
              <w:jc w:val="both"/>
              <w:rPr>
                <w:rFonts w:ascii="宋体" w:hAnsi="宋体"/>
                <w:spacing w:val="1"/>
              </w:rPr>
            </w:pPr>
          </w:p>
        </w:tc>
        <w:tc>
          <w:tcPr>
            <w:tcW w:w="2520" w:type="dxa"/>
            <w:vAlign w:val="center"/>
          </w:tcPr>
          <w:p w14:paraId="104C1149">
            <w:pPr>
              <w:ind w:left="0" w:firstLine="0"/>
              <w:jc w:val="both"/>
              <w:rPr>
                <w:rFonts w:ascii="宋体" w:hAnsi="宋体"/>
                <w:spacing w:val="1"/>
              </w:rPr>
            </w:pPr>
          </w:p>
        </w:tc>
      </w:tr>
    </w:tbl>
    <w:p w14:paraId="31B87A12">
      <w:pPr>
        <w:ind w:firstLine="424" w:firstLineChars="200"/>
        <w:jc w:val="both"/>
        <w:rPr>
          <w:spacing w:val="1"/>
          <w:sz w:val="21"/>
          <w:szCs w:val="21"/>
        </w:rPr>
      </w:pPr>
    </w:p>
    <w:p w14:paraId="5140FC0B">
      <w:pPr>
        <w:ind w:firstLine="848" w:firstLineChars="400"/>
        <w:jc w:val="both"/>
        <w:rPr>
          <w:spacing w:val="1"/>
          <w:sz w:val="21"/>
          <w:szCs w:val="21"/>
        </w:rPr>
      </w:pPr>
      <w:r>
        <w:rPr>
          <w:spacing w:val="1"/>
          <w:sz w:val="21"/>
          <w:szCs w:val="21"/>
        </w:rPr>
        <w:t>技术偏离内容一览表（劣于偏离表）</w:t>
      </w:r>
      <w:r>
        <w:rPr>
          <w:rFonts w:hint="eastAsia"/>
          <w:sz w:val="21"/>
          <w:szCs w:val="21"/>
        </w:rPr>
        <w:t xml:space="preserve">           表13.5.1-2</w:t>
      </w:r>
    </w:p>
    <w:tbl>
      <w:tblPr>
        <w:tblStyle w:val="87"/>
        <w:tblW w:w="7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9"/>
        <w:gridCol w:w="1560"/>
        <w:gridCol w:w="1080"/>
        <w:gridCol w:w="2520"/>
      </w:tblGrid>
      <w:tr w14:paraId="35BF8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2649" w:type="dxa"/>
            <w:tcBorders>
              <w:bottom w:val="single" w:color="auto" w:sz="4" w:space="0"/>
            </w:tcBorders>
            <w:shd w:val="clear" w:color="auto" w:fill="B3B3B3"/>
            <w:vAlign w:val="center"/>
          </w:tcPr>
          <w:p w14:paraId="6A3B8E70">
            <w:pPr>
              <w:ind w:left="0" w:firstLine="0"/>
              <w:jc w:val="both"/>
              <w:rPr>
                <w:rFonts w:ascii="宋体" w:hAnsi="宋体"/>
                <w:spacing w:val="1"/>
                <w:sz w:val="21"/>
                <w:szCs w:val="21"/>
              </w:rPr>
            </w:pPr>
            <w:r>
              <w:rPr>
                <w:rFonts w:ascii="宋体" w:hAnsi="宋体"/>
                <w:spacing w:val="1"/>
                <w:sz w:val="21"/>
                <w:szCs w:val="21"/>
              </w:rPr>
              <w:t>技术部分章节/条款编号</w:t>
            </w:r>
          </w:p>
        </w:tc>
        <w:tc>
          <w:tcPr>
            <w:tcW w:w="1560" w:type="dxa"/>
            <w:tcBorders>
              <w:bottom w:val="single" w:color="auto" w:sz="4" w:space="0"/>
            </w:tcBorders>
            <w:shd w:val="clear" w:color="auto" w:fill="B3B3B3"/>
            <w:vAlign w:val="center"/>
          </w:tcPr>
          <w:p w14:paraId="1FEE02C5">
            <w:pPr>
              <w:ind w:left="0" w:firstLine="0"/>
              <w:jc w:val="both"/>
              <w:rPr>
                <w:rFonts w:ascii="宋体" w:hAnsi="宋体"/>
                <w:spacing w:val="1"/>
                <w:sz w:val="21"/>
                <w:szCs w:val="21"/>
              </w:rPr>
            </w:pPr>
            <w:r>
              <w:rPr>
                <w:rFonts w:ascii="宋体" w:hAnsi="宋体"/>
                <w:spacing w:val="1"/>
                <w:sz w:val="21"/>
                <w:szCs w:val="21"/>
              </w:rPr>
              <w:t>原条款内容</w:t>
            </w:r>
          </w:p>
        </w:tc>
        <w:tc>
          <w:tcPr>
            <w:tcW w:w="1080" w:type="dxa"/>
            <w:tcBorders>
              <w:bottom w:val="single" w:color="auto" w:sz="4" w:space="0"/>
            </w:tcBorders>
            <w:shd w:val="clear" w:color="auto" w:fill="B3B3B3"/>
            <w:vAlign w:val="center"/>
          </w:tcPr>
          <w:p w14:paraId="10526CA7">
            <w:pPr>
              <w:ind w:left="0" w:firstLine="0"/>
              <w:jc w:val="both"/>
              <w:rPr>
                <w:rFonts w:ascii="宋体" w:hAnsi="宋体"/>
                <w:spacing w:val="1"/>
                <w:sz w:val="21"/>
                <w:szCs w:val="21"/>
              </w:rPr>
            </w:pPr>
            <w:r>
              <w:rPr>
                <w:rFonts w:ascii="宋体" w:hAnsi="宋体"/>
                <w:spacing w:val="1"/>
                <w:sz w:val="21"/>
                <w:szCs w:val="21"/>
              </w:rPr>
              <w:t>偏离</w:t>
            </w:r>
          </w:p>
        </w:tc>
        <w:tc>
          <w:tcPr>
            <w:tcW w:w="2520" w:type="dxa"/>
            <w:tcBorders>
              <w:top w:val="single" w:color="auto" w:sz="4" w:space="0"/>
              <w:bottom w:val="single" w:color="auto" w:sz="4" w:space="0"/>
            </w:tcBorders>
            <w:shd w:val="clear" w:color="auto" w:fill="B3B3B3"/>
            <w:vAlign w:val="center"/>
          </w:tcPr>
          <w:p w14:paraId="350998D5">
            <w:pPr>
              <w:ind w:left="0" w:firstLine="0"/>
              <w:jc w:val="both"/>
              <w:rPr>
                <w:rFonts w:ascii="宋体" w:hAnsi="宋体"/>
                <w:spacing w:val="1"/>
                <w:sz w:val="21"/>
                <w:szCs w:val="21"/>
              </w:rPr>
            </w:pPr>
            <w:r>
              <w:rPr>
                <w:rFonts w:ascii="宋体" w:hAnsi="宋体"/>
                <w:spacing w:val="1"/>
                <w:sz w:val="21"/>
                <w:szCs w:val="21"/>
              </w:rPr>
              <w:t>偏离的详细描述</w:t>
            </w:r>
          </w:p>
        </w:tc>
      </w:tr>
      <w:tr w14:paraId="7287B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649" w:type="dxa"/>
            <w:vAlign w:val="center"/>
          </w:tcPr>
          <w:p w14:paraId="45358E27">
            <w:pPr>
              <w:ind w:firstLine="484" w:firstLineChars="200"/>
              <w:jc w:val="both"/>
              <w:rPr>
                <w:rFonts w:ascii="宋体" w:hAnsi="宋体"/>
                <w:spacing w:val="1"/>
              </w:rPr>
            </w:pPr>
          </w:p>
        </w:tc>
        <w:tc>
          <w:tcPr>
            <w:tcW w:w="1560" w:type="dxa"/>
            <w:vAlign w:val="center"/>
          </w:tcPr>
          <w:p w14:paraId="54040B6B">
            <w:pPr>
              <w:ind w:firstLine="484" w:firstLineChars="200"/>
              <w:jc w:val="both"/>
              <w:rPr>
                <w:rFonts w:ascii="宋体" w:hAnsi="宋体"/>
                <w:spacing w:val="1"/>
              </w:rPr>
            </w:pPr>
          </w:p>
        </w:tc>
        <w:tc>
          <w:tcPr>
            <w:tcW w:w="1080" w:type="dxa"/>
            <w:vAlign w:val="center"/>
          </w:tcPr>
          <w:p w14:paraId="3ADCC182">
            <w:pPr>
              <w:ind w:firstLine="484" w:firstLineChars="200"/>
              <w:jc w:val="both"/>
              <w:rPr>
                <w:rFonts w:ascii="宋体" w:hAnsi="宋体"/>
                <w:spacing w:val="1"/>
              </w:rPr>
            </w:pPr>
          </w:p>
        </w:tc>
        <w:tc>
          <w:tcPr>
            <w:tcW w:w="2520" w:type="dxa"/>
            <w:vAlign w:val="center"/>
          </w:tcPr>
          <w:p w14:paraId="714AE13F">
            <w:pPr>
              <w:ind w:firstLine="484" w:firstLineChars="200"/>
              <w:jc w:val="both"/>
              <w:rPr>
                <w:rFonts w:ascii="宋体" w:hAnsi="宋体"/>
                <w:spacing w:val="1"/>
              </w:rPr>
            </w:pPr>
          </w:p>
        </w:tc>
      </w:tr>
      <w:tr w14:paraId="1F5AF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649" w:type="dxa"/>
            <w:vAlign w:val="center"/>
          </w:tcPr>
          <w:p w14:paraId="0153570B">
            <w:pPr>
              <w:ind w:firstLine="484" w:firstLineChars="200"/>
              <w:jc w:val="both"/>
              <w:rPr>
                <w:rFonts w:ascii="宋体" w:hAnsi="宋体"/>
                <w:spacing w:val="1"/>
              </w:rPr>
            </w:pPr>
          </w:p>
        </w:tc>
        <w:tc>
          <w:tcPr>
            <w:tcW w:w="1560" w:type="dxa"/>
            <w:vAlign w:val="center"/>
          </w:tcPr>
          <w:p w14:paraId="6A55506D">
            <w:pPr>
              <w:ind w:firstLine="484" w:firstLineChars="200"/>
              <w:jc w:val="both"/>
              <w:rPr>
                <w:rFonts w:ascii="宋体" w:hAnsi="宋体"/>
                <w:spacing w:val="1"/>
              </w:rPr>
            </w:pPr>
          </w:p>
        </w:tc>
        <w:tc>
          <w:tcPr>
            <w:tcW w:w="1080" w:type="dxa"/>
            <w:vAlign w:val="center"/>
          </w:tcPr>
          <w:p w14:paraId="67DC98EA">
            <w:pPr>
              <w:ind w:firstLine="484" w:firstLineChars="200"/>
              <w:jc w:val="both"/>
              <w:rPr>
                <w:rFonts w:ascii="宋体" w:hAnsi="宋体"/>
                <w:spacing w:val="1"/>
              </w:rPr>
            </w:pPr>
          </w:p>
        </w:tc>
        <w:tc>
          <w:tcPr>
            <w:tcW w:w="2520" w:type="dxa"/>
            <w:vAlign w:val="center"/>
          </w:tcPr>
          <w:p w14:paraId="685184FF">
            <w:pPr>
              <w:ind w:firstLine="484" w:firstLineChars="200"/>
              <w:jc w:val="both"/>
              <w:rPr>
                <w:rFonts w:ascii="宋体" w:hAnsi="宋体"/>
                <w:spacing w:val="1"/>
              </w:rPr>
            </w:pPr>
          </w:p>
        </w:tc>
      </w:tr>
    </w:tbl>
    <w:p w14:paraId="68F2E675"/>
    <w:p w14:paraId="6305F0C1">
      <w:pPr>
        <w:pStyle w:val="4"/>
        <w:rPr>
          <w:sz w:val="21"/>
          <w:szCs w:val="21"/>
        </w:rPr>
      </w:pPr>
      <w:bookmarkStart w:id="3161" w:name="_Toc21345"/>
      <w:bookmarkStart w:id="3162" w:name="_Toc17214"/>
      <w:r>
        <w:rPr>
          <w:rFonts w:hint="eastAsia"/>
          <w:sz w:val="21"/>
          <w:szCs w:val="21"/>
        </w:rPr>
        <w:t>技术建议书</w:t>
      </w:r>
      <w:bookmarkEnd w:id="3161"/>
      <w:bookmarkEnd w:id="3162"/>
    </w:p>
    <w:p w14:paraId="0940A52B">
      <w:pPr>
        <w:pStyle w:val="5"/>
        <w:rPr>
          <w:color w:val="auto"/>
          <w:szCs w:val="21"/>
        </w:rPr>
      </w:pPr>
      <w:r>
        <w:rPr>
          <w:color w:val="auto"/>
          <w:szCs w:val="21"/>
        </w:rPr>
        <w:t>投标人须根据</w:t>
      </w:r>
      <w:r>
        <w:rPr>
          <w:rFonts w:hint="eastAsia"/>
          <w:color w:val="auto"/>
          <w:szCs w:val="21"/>
        </w:rPr>
        <w:t>本项目系统</w:t>
      </w:r>
      <w:r>
        <w:rPr>
          <w:color w:val="auto"/>
          <w:szCs w:val="21"/>
        </w:rPr>
        <w:t>的特点，并参照招标文件技术部分中的内容提出满足用户要求，且更完善、全面、详细的技术建议方案。</w:t>
      </w:r>
    </w:p>
    <w:p w14:paraId="06898936">
      <w:pPr>
        <w:pStyle w:val="5"/>
        <w:rPr>
          <w:color w:val="auto"/>
          <w:szCs w:val="21"/>
        </w:rPr>
      </w:pPr>
      <w:r>
        <w:rPr>
          <w:color w:val="auto"/>
          <w:szCs w:val="21"/>
        </w:rPr>
        <w:t>技术建议书应包括但不限于以下内容（建议按以下顺序编写）：</w:t>
      </w:r>
    </w:p>
    <w:p w14:paraId="1E226B85">
      <w:pPr>
        <w:widowControl/>
        <w:numPr>
          <w:ilvl w:val="0"/>
          <w:numId w:val="38"/>
        </w:numPr>
        <w:tabs>
          <w:tab w:val="left" w:pos="1486"/>
        </w:tabs>
        <w:adjustRightInd w:val="0"/>
        <w:snapToGrid w:val="0"/>
        <w:rPr>
          <w:sz w:val="21"/>
          <w:szCs w:val="21"/>
        </w:rPr>
      </w:pPr>
      <w:r>
        <w:rPr>
          <w:sz w:val="21"/>
          <w:szCs w:val="21"/>
        </w:rPr>
        <w:t>系统功能</w:t>
      </w:r>
      <w:r>
        <w:rPr>
          <w:rFonts w:hint="eastAsia"/>
          <w:sz w:val="21"/>
          <w:szCs w:val="21"/>
        </w:rPr>
        <w:t>。</w:t>
      </w:r>
    </w:p>
    <w:p w14:paraId="2EC84187">
      <w:pPr>
        <w:widowControl/>
        <w:numPr>
          <w:ilvl w:val="0"/>
          <w:numId w:val="38"/>
        </w:numPr>
        <w:tabs>
          <w:tab w:val="left" w:pos="1486"/>
        </w:tabs>
        <w:adjustRightInd w:val="0"/>
        <w:snapToGrid w:val="0"/>
        <w:rPr>
          <w:sz w:val="21"/>
          <w:szCs w:val="21"/>
        </w:rPr>
      </w:pPr>
      <w:r>
        <w:rPr>
          <w:sz w:val="21"/>
          <w:szCs w:val="21"/>
        </w:rPr>
        <w:t>系统技术方案（应包括</w:t>
      </w:r>
      <w:r>
        <w:rPr>
          <w:rFonts w:hint="eastAsia"/>
          <w:sz w:val="21"/>
          <w:szCs w:val="21"/>
        </w:rPr>
        <w:t>系统内部的</w:t>
      </w:r>
      <w:r>
        <w:rPr>
          <w:sz w:val="21"/>
          <w:szCs w:val="21"/>
        </w:rPr>
        <w:t>连接说明、与其它相关系统的连接说明）。</w:t>
      </w:r>
    </w:p>
    <w:p w14:paraId="7C18826A">
      <w:pPr>
        <w:widowControl/>
        <w:numPr>
          <w:ilvl w:val="0"/>
          <w:numId w:val="38"/>
        </w:numPr>
        <w:tabs>
          <w:tab w:val="left" w:pos="1486"/>
        </w:tabs>
        <w:adjustRightInd w:val="0"/>
        <w:snapToGrid w:val="0"/>
        <w:rPr>
          <w:sz w:val="21"/>
          <w:szCs w:val="21"/>
        </w:rPr>
      </w:pPr>
      <w:r>
        <w:rPr>
          <w:sz w:val="21"/>
          <w:szCs w:val="21"/>
        </w:rPr>
        <w:t>设备组成：系统的构成设备框图，</w:t>
      </w:r>
      <w:r>
        <w:rPr>
          <w:rFonts w:hint="eastAsia"/>
          <w:sz w:val="21"/>
          <w:szCs w:val="21"/>
        </w:rPr>
        <w:t>网络拓扑</w:t>
      </w:r>
      <w:r>
        <w:rPr>
          <w:sz w:val="21"/>
          <w:szCs w:val="21"/>
        </w:rPr>
        <w:t>图、面板盘组成图及设备功能描述（含保护方式）、设备的人机界面介绍（</w:t>
      </w:r>
      <w:r>
        <w:rPr>
          <w:rFonts w:hint="eastAsia"/>
          <w:sz w:val="21"/>
          <w:szCs w:val="21"/>
        </w:rPr>
        <w:t>若</w:t>
      </w:r>
      <w:r>
        <w:rPr>
          <w:sz w:val="21"/>
          <w:szCs w:val="21"/>
        </w:rPr>
        <w:t>有）、所采用的先进技术的描述、产品说明、必要的技术说明及所投设备的产品样本。</w:t>
      </w:r>
    </w:p>
    <w:p w14:paraId="268102E4">
      <w:pPr>
        <w:widowControl/>
        <w:numPr>
          <w:ilvl w:val="0"/>
          <w:numId w:val="38"/>
        </w:numPr>
        <w:tabs>
          <w:tab w:val="left" w:pos="1486"/>
        </w:tabs>
        <w:adjustRightInd w:val="0"/>
        <w:snapToGrid w:val="0"/>
        <w:rPr>
          <w:sz w:val="21"/>
          <w:szCs w:val="21"/>
        </w:rPr>
      </w:pPr>
      <w:r>
        <w:rPr>
          <w:sz w:val="21"/>
          <w:szCs w:val="21"/>
        </w:rPr>
        <w:t>各项技术指标描述（含环境温湿度指标、设备尺寸、重量、机架的耗电量及设备散热量等）、传输通道需求及系统接口配置等技术说明。</w:t>
      </w:r>
    </w:p>
    <w:p w14:paraId="3B5B0F5F">
      <w:pPr>
        <w:widowControl/>
        <w:numPr>
          <w:ilvl w:val="0"/>
          <w:numId w:val="38"/>
        </w:numPr>
        <w:tabs>
          <w:tab w:val="left" w:pos="1486"/>
        </w:tabs>
        <w:adjustRightInd w:val="0"/>
        <w:snapToGrid w:val="0"/>
        <w:rPr>
          <w:sz w:val="21"/>
          <w:szCs w:val="21"/>
        </w:rPr>
      </w:pPr>
      <w:r>
        <w:rPr>
          <w:sz w:val="21"/>
          <w:szCs w:val="21"/>
        </w:rPr>
        <w:t>对偏离表中技术的详细说明、对标书中特殊要求问题的说明（斜体、加粗、打*的段落，告知对应的招标文件页码和需说明问题的标题编号）。</w:t>
      </w:r>
    </w:p>
    <w:p w14:paraId="3A1FA6A2">
      <w:pPr>
        <w:widowControl/>
        <w:numPr>
          <w:ilvl w:val="0"/>
          <w:numId w:val="38"/>
        </w:numPr>
        <w:tabs>
          <w:tab w:val="left" w:pos="1486"/>
        </w:tabs>
        <w:adjustRightInd w:val="0"/>
        <w:snapToGrid w:val="0"/>
        <w:rPr>
          <w:sz w:val="21"/>
          <w:szCs w:val="21"/>
        </w:rPr>
      </w:pPr>
      <w:r>
        <w:rPr>
          <w:sz w:val="21"/>
          <w:szCs w:val="21"/>
        </w:rPr>
        <w:t>投标人应详细说明其硬件平台的能力、型号、配置及外围设备的配置等</w:t>
      </w:r>
      <w:r>
        <w:rPr>
          <w:rFonts w:hint="eastAsia"/>
          <w:sz w:val="21"/>
          <w:szCs w:val="21"/>
        </w:rPr>
        <w:t>。</w:t>
      </w:r>
    </w:p>
    <w:p w14:paraId="027FAD5C">
      <w:pPr>
        <w:widowControl/>
        <w:numPr>
          <w:ilvl w:val="0"/>
          <w:numId w:val="38"/>
        </w:numPr>
        <w:tabs>
          <w:tab w:val="left" w:pos="1486"/>
        </w:tabs>
        <w:adjustRightInd w:val="0"/>
        <w:snapToGrid w:val="0"/>
        <w:rPr>
          <w:sz w:val="21"/>
          <w:szCs w:val="21"/>
        </w:rPr>
      </w:pPr>
      <w:r>
        <w:rPr>
          <w:rFonts w:hint="eastAsia"/>
          <w:sz w:val="21"/>
          <w:szCs w:val="21"/>
          <w:lang w:eastAsia="zh-CN"/>
        </w:rPr>
        <w:t>部署</w:t>
      </w:r>
      <w:r>
        <w:rPr>
          <w:sz w:val="21"/>
          <w:szCs w:val="21"/>
        </w:rPr>
        <w:t>要求</w:t>
      </w:r>
      <w:r>
        <w:rPr>
          <w:rFonts w:hint="eastAsia"/>
          <w:sz w:val="21"/>
          <w:szCs w:val="21"/>
        </w:rPr>
        <w:t>及规范。</w:t>
      </w:r>
    </w:p>
    <w:p w14:paraId="1FD162DF">
      <w:pPr>
        <w:widowControl/>
        <w:numPr>
          <w:ilvl w:val="0"/>
          <w:numId w:val="38"/>
        </w:numPr>
        <w:tabs>
          <w:tab w:val="left" w:pos="1486"/>
        </w:tabs>
        <w:adjustRightInd w:val="0"/>
        <w:snapToGrid w:val="0"/>
        <w:rPr>
          <w:sz w:val="21"/>
          <w:szCs w:val="21"/>
        </w:rPr>
      </w:pPr>
      <w:r>
        <w:rPr>
          <w:sz w:val="21"/>
          <w:szCs w:val="21"/>
        </w:rPr>
        <w:t>验收测试方法及测试标准</w:t>
      </w:r>
      <w:r>
        <w:rPr>
          <w:rFonts w:hint="eastAsia"/>
          <w:sz w:val="21"/>
          <w:szCs w:val="21"/>
        </w:rPr>
        <w:t>。</w:t>
      </w:r>
    </w:p>
    <w:p w14:paraId="412D7B6F">
      <w:pPr>
        <w:widowControl/>
        <w:numPr>
          <w:ilvl w:val="0"/>
          <w:numId w:val="38"/>
        </w:numPr>
        <w:tabs>
          <w:tab w:val="left" w:pos="1486"/>
        </w:tabs>
        <w:adjustRightInd w:val="0"/>
        <w:snapToGrid w:val="0"/>
        <w:rPr>
          <w:sz w:val="21"/>
          <w:szCs w:val="21"/>
        </w:rPr>
      </w:pPr>
      <w:r>
        <w:rPr>
          <w:sz w:val="21"/>
          <w:szCs w:val="21"/>
        </w:rPr>
        <w:t>系统的MTTR、MTBF值和计算</w:t>
      </w:r>
      <w:r>
        <w:rPr>
          <w:rFonts w:hint="eastAsia"/>
          <w:sz w:val="21"/>
          <w:szCs w:val="21"/>
        </w:rPr>
        <w:t>过程。</w:t>
      </w:r>
    </w:p>
    <w:p w14:paraId="7B8D074E">
      <w:pPr>
        <w:widowControl/>
        <w:numPr>
          <w:ilvl w:val="0"/>
          <w:numId w:val="38"/>
        </w:numPr>
        <w:tabs>
          <w:tab w:val="left" w:pos="1486"/>
        </w:tabs>
        <w:adjustRightInd w:val="0"/>
        <w:snapToGrid w:val="0"/>
        <w:rPr>
          <w:sz w:val="21"/>
          <w:szCs w:val="21"/>
        </w:rPr>
      </w:pPr>
      <w:r>
        <w:rPr>
          <w:sz w:val="21"/>
          <w:szCs w:val="21"/>
        </w:rPr>
        <w:t>各种设备机柜配置情况等</w:t>
      </w:r>
      <w:r>
        <w:rPr>
          <w:rFonts w:hint="eastAsia"/>
          <w:sz w:val="21"/>
          <w:szCs w:val="21"/>
        </w:rPr>
        <w:t>。</w:t>
      </w:r>
    </w:p>
    <w:p w14:paraId="50DEBD0B">
      <w:pPr>
        <w:pStyle w:val="4"/>
        <w:rPr>
          <w:sz w:val="21"/>
          <w:szCs w:val="21"/>
        </w:rPr>
      </w:pPr>
      <w:bookmarkStart w:id="3163" w:name="_Toc128138778"/>
      <w:bookmarkStart w:id="3164" w:name="_Toc128137899"/>
      <w:bookmarkStart w:id="3165" w:name="_Toc128122994"/>
      <w:bookmarkStart w:id="3166" w:name="_Toc213477326"/>
      <w:bookmarkStart w:id="3167" w:name="_Toc234326879"/>
      <w:bookmarkStart w:id="3168" w:name="_Toc17615"/>
      <w:bookmarkStart w:id="3169" w:name="_Toc128139189"/>
      <w:bookmarkStart w:id="3170" w:name="_Toc259981608"/>
      <w:bookmarkStart w:id="3171" w:name="_Toc214704274"/>
      <w:bookmarkStart w:id="3172" w:name="_Toc218142253"/>
      <w:bookmarkStart w:id="3173" w:name="_Toc218143513"/>
      <w:bookmarkStart w:id="3174" w:name="_Toc234326075"/>
      <w:bookmarkStart w:id="3175" w:name="_Toc214704523"/>
      <w:bookmarkStart w:id="3176" w:name="_Toc218144485"/>
      <w:bookmarkStart w:id="3177" w:name="_Toc218145287"/>
      <w:bookmarkStart w:id="3178" w:name="_Toc218147663"/>
      <w:bookmarkStart w:id="3179" w:name="_Toc218147412"/>
      <w:bookmarkStart w:id="3180" w:name="_Toc231185240"/>
      <w:bookmarkStart w:id="3181" w:name="_Toc218141751"/>
      <w:bookmarkStart w:id="3182" w:name="_Toc234326343"/>
      <w:bookmarkStart w:id="3183" w:name="_Toc218142002"/>
      <w:bookmarkStart w:id="3184" w:name="_Toc128223363"/>
      <w:bookmarkStart w:id="3185" w:name="_Toc218145869"/>
      <w:bookmarkStart w:id="3186" w:name="_Toc215889534"/>
      <w:bookmarkStart w:id="3187" w:name="_Toc213407921"/>
      <w:bookmarkStart w:id="3188" w:name="_Toc218141283"/>
      <w:bookmarkStart w:id="3189" w:name="_Toc218143944"/>
      <w:bookmarkStart w:id="3190" w:name="_Toc128121024"/>
      <w:bookmarkStart w:id="3191" w:name="_Toc128139683"/>
      <w:bookmarkStart w:id="3192" w:name="_Toc212875178"/>
      <w:bookmarkStart w:id="3193" w:name="_Toc128138161"/>
      <w:bookmarkStart w:id="3194" w:name="_Toc128140658"/>
      <w:bookmarkStart w:id="3195" w:name="_Toc131867964"/>
      <w:bookmarkStart w:id="3196" w:name="_Toc290373492"/>
      <w:bookmarkStart w:id="3197" w:name="_Toc23888"/>
      <w:bookmarkStart w:id="3198" w:name="_Toc213477572"/>
      <w:bookmarkStart w:id="3199" w:name="_Toc218144736"/>
      <w:bookmarkStart w:id="3200" w:name="_Toc128138407"/>
      <w:bookmarkStart w:id="3201" w:name="_Toc128140091"/>
      <w:bookmarkStart w:id="3202" w:name="_Toc237702981"/>
      <w:bookmarkStart w:id="3203" w:name="_Toc217105838"/>
      <w:bookmarkStart w:id="3204" w:name="_Toc218144987"/>
      <w:bookmarkStart w:id="3205" w:name="_Toc218144234"/>
      <w:bookmarkStart w:id="3206" w:name="_Toc215885621"/>
      <w:bookmarkStart w:id="3207" w:name="_Toc128137483"/>
      <w:bookmarkStart w:id="3208" w:name="_Toc214704025"/>
      <w:bookmarkStart w:id="3209" w:name="_Toc128139402"/>
      <w:bookmarkStart w:id="3210" w:name="_Toc128141082"/>
      <w:bookmarkStart w:id="3211" w:name="_Toc234326611"/>
      <w:r>
        <w:rPr>
          <w:sz w:val="21"/>
          <w:szCs w:val="21"/>
        </w:rPr>
        <w:t>系统设备供货清单</w:t>
      </w:r>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p>
    <w:p w14:paraId="1FC9FD5F">
      <w:pPr>
        <w:pStyle w:val="5"/>
        <w:rPr>
          <w:color w:val="auto"/>
          <w:szCs w:val="21"/>
        </w:rPr>
      </w:pPr>
      <w:r>
        <w:rPr>
          <w:rFonts w:hint="eastAsia"/>
          <w:color w:val="auto"/>
          <w:szCs w:val="21"/>
        </w:rPr>
        <w:t>投标人提供的系统供货清单</w:t>
      </w:r>
      <w:r>
        <w:rPr>
          <w:color w:val="auto"/>
          <w:szCs w:val="21"/>
        </w:rPr>
        <w:t>应包含</w:t>
      </w:r>
      <w:r>
        <w:rPr>
          <w:rFonts w:hint="eastAsia"/>
          <w:color w:val="auto"/>
          <w:szCs w:val="21"/>
        </w:rPr>
        <w:t>但不限于</w:t>
      </w:r>
      <w:r>
        <w:rPr>
          <w:color w:val="auto"/>
          <w:szCs w:val="21"/>
        </w:rPr>
        <w:t>以下内容：供货范围内的设备、材料名称，规格型号（详细到设备单元、板卡），单位，数量，原产地，制造商在内的详细列表。</w:t>
      </w:r>
    </w:p>
    <w:p w14:paraId="445BC51C">
      <w:pPr>
        <w:pStyle w:val="4"/>
        <w:rPr>
          <w:sz w:val="21"/>
          <w:szCs w:val="21"/>
        </w:rPr>
      </w:pPr>
      <w:bookmarkStart w:id="3212" w:name="_Toc214704275"/>
      <w:bookmarkStart w:id="3213" w:name="_Toc218147664"/>
      <w:bookmarkStart w:id="3214" w:name="_Toc218144988"/>
      <w:bookmarkStart w:id="3215" w:name="_Toc218145288"/>
      <w:bookmarkStart w:id="3216" w:name="_Toc218141752"/>
      <w:bookmarkStart w:id="3217" w:name="_Toc128141083"/>
      <w:bookmarkStart w:id="3218" w:name="_Toc218144737"/>
      <w:bookmarkStart w:id="3219" w:name="_Toc128140092"/>
      <w:bookmarkStart w:id="3220" w:name="_Toc128139403"/>
      <w:bookmarkStart w:id="3221" w:name="_Toc218142003"/>
      <w:bookmarkStart w:id="3222" w:name="_Toc234326612"/>
      <w:bookmarkStart w:id="3223" w:name="_Toc213477573"/>
      <w:bookmarkStart w:id="3224" w:name="_Toc128137484"/>
      <w:bookmarkStart w:id="3225" w:name="_Toc213477327"/>
      <w:bookmarkStart w:id="3226" w:name="_Toc218144486"/>
      <w:bookmarkStart w:id="3227" w:name="_Toc259981609"/>
      <w:bookmarkStart w:id="3228" w:name="_Toc128138408"/>
      <w:bookmarkStart w:id="3229" w:name="_Toc214704026"/>
      <w:bookmarkStart w:id="3230" w:name="_Toc215885622"/>
      <w:bookmarkStart w:id="3231" w:name="_Toc212875179"/>
      <w:bookmarkStart w:id="3232" w:name="_Toc218147413"/>
      <w:bookmarkStart w:id="3233" w:name="_Toc237702982"/>
      <w:bookmarkStart w:id="3234" w:name="_Toc290373493"/>
      <w:bookmarkStart w:id="3235" w:name="_Toc218143945"/>
      <w:bookmarkStart w:id="3236" w:name="_Toc218144235"/>
      <w:bookmarkStart w:id="3237" w:name="_Toc218142254"/>
      <w:bookmarkStart w:id="3238" w:name="_Toc128139190"/>
      <w:bookmarkStart w:id="3239" w:name="_Toc128139684"/>
      <w:bookmarkStart w:id="3240" w:name="_Toc128137900"/>
      <w:bookmarkStart w:id="3241" w:name="_Toc234326344"/>
      <w:bookmarkStart w:id="3242" w:name="_Toc128122995"/>
      <w:bookmarkStart w:id="3243" w:name="_Toc128140659"/>
      <w:bookmarkStart w:id="3244" w:name="_Toc218143514"/>
      <w:bookmarkStart w:id="3245" w:name="_Toc128121025"/>
      <w:bookmarkStart w:id="3246" w:name="_Toc218145870"/>
      <w:bookmarkStart w:id="3247" w:name="_Toc214704524"/>
      <w:bookmarkStart w:id="3248" w:name="_Toc213407922"/>
      <w:bookmarkStart w:id="3249" w:name="_Toc128138162"/>
      <w:bookmarkStart w:id="3250" w:name="_Toc128223364"/>
      <w:bookmarkStart w:id="3251" w:name="_Toc234326076"/>
      <w:bookmarkStart w:id="3252" w:name="_Toc218141284"/>
      <w:bookmarkStart w:id="3253" w:name="_Toc16269"/>
      <w:bookmarkStart w:id="3254" w:name="_Toc231185241"/>
      <w:bookmarkStart w:id="3255" w:name="_Toc234326880"/>
      <w:bookmarkStart w:id="3256" w:name="_Toc128138779"/>
      <w:bookmarkStart w:id="3257" w:name="_Toc217105839"/>
      <w:bookmarkStart w:id="3258" w:name="_Toc14528"/>
      <w:bookmarkStart w:id="3259" w:name="_Toc215889535"/>
      <w:bookmarkStart w:id="3260" w:name="_Toc131867965"/>
      <w:r>
        <w:rPr>
          <w:sz w:val="21"/>
          <w:szCs w:val="21"/>
        </w:rPr>
        <w:t>项目实施进度计划</w:t>
      </w:r>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p>
    <w:p w14:paraId="36AAFBDC">
      <w:pPr>
        <w:pStyle w:val="5"/>
        <w:rPr>
          <w:color w:val="auto"/>
          <w:szCs w:val="21"/>
        </w:rPr>
      </w:pPr>
      <w:r>
        <w:rPr>
          <w:rFonts w:hint="eastAsia"/>
          <w:color w:val="auto"/>
          <w:szCs w:val="21"/>
        </w:rPr>
        <w:t>投标人应</w:t>
      </w:r>
      <w:r>
        <w:rPr>
          <w:color w:val="auto"/>
          <w:szCs w:val="21"/>
        </w:rPr>
        <w:t>根据</w:t>
      </w:r>
      <w:r>
        <w:rPr>
          <w:rFonts w:hint="eastAsia"/>
          <w:color w:val="auto"/>
          <w:szCs w:val="21"/>
        </w:rPr>
        <w:t>本招标文件规定的工期计划，提交工程实施计划书，包括产品</w:t>
      </w:r>
      <w:r>
        <w:rPr>
          <w:rFonts w:hint="eastAsia"/>
          <w:color w:val="auto"/>
          <w:szCs w:val="21"/>
          <w:lang w:eastAsia="zh-CN"/>
        </w:rPr>
        <w:t>规划</w:t>
      </w:r>
      <w:r>
        <w:rPr>
          <w:rFonts w:hint="eastAsia"/>
          <w:color w:val="auto"/>
          <w:szCs w:val="21"/>
        </w:rPr>
        <w:t>、</w:t>
      </w:r>
      <w:r>
        <w:rPr>
          <w:rFonts w:hint="eastAsia"/>
          <w:color w:val="auto"/>
          <w:szCs w:val="21"/>
          <w:lang w:eastAsia="zh-CN"/>
        </w:rPr>
        <w:t>技术</w:t>
      </w:r>
      <w:r>
        <w:rPr>
          <w:rFonts w:hint="eastAsia"/>
          <w:color w:val="auto"/>
          <w:szCs w:val="21"/>
        </w:rPr>
        <w:t>联络、产品制造、出厂检验、保险、包装、发货、运输、交货、</w:t>
      </w:r>
      <w:r>
        <w:rPr>
          <w:rFonts w:hint="eastAsia"/>
          <w:color w:val="auto"/>
          <w:szCs w:val="21"/>
          <w:lang w:eastAsia="zh-CN"/>
        </w:rPr>
        <w:t>部署</w:t>
      </w:r>
      <w:r>
        <w:rPr>
          <w:rFonts w:hint="eastAsia"/>
          <w:color w:val="auto"/>
          <w:szCs w:val="21"/>
        </w:rPr>
        <w:t>、现场调试（含单机调试、系统联调）、预验收、试运行、竣工验收等计划、内容和时间表。</w:t>
      </w:r>
    </w:p>
    <w:p w14:paraId="4D51E03E">
      <w:pPr>
        <w:pStyle w:val="4"/>
        <w:rPr>
          <w:sz w:val="21"/>
          <w:szCs w:val="21"/>
        </w:rPr>
      </w:pPr>
      <w:bookmarkStart w:id="3261" w:name="_Toc214704527"/>
      <w:bookmarkStart w:id="3262" w:name="_Toc215889538"/>
      <w:bookmarkStart w:id="3263" w:name="_Toc213477576"/>
      <w:bookmarkStart w:id="3264" w:name="_Toc214704278"/>
      <w:bookmarkStart w:id="3265" w:name="_Toc128138782"/>
      <w:bookmarkStart w:id="3266" w:name="_Toc234326883"/>
      <w:bookmarkStart w:id="3267" w:name="_Toc17640"/>
      <w:bookmarkStart w:id="3268" w:name="_Toc128138411"/>
      <w:bookmarkStart w:id="3269" w:name="_Toc290373496"/>
      <w:bookmarkStart w:id="3270" w:name="_Toc128137903"/>
      <w:bookmarkStart w:id="3271" w:name="_Toc128122998"/>
      <w:bookmarkStart w:id="3272" w:name="_Toc218143948"/>
      <w:bookmarkStart w:id="3273" w:name="_Toc218147667"/>
      <w:bookmarkStart w:id="3274" w:name="_Toc128140662"/>
      <w:bookmarkStart w:id="3275" w:name="_Toc128121028"/>
      <w:bookmarkStart w:id="3276" w:name="_Toc234326615"/>
      <w:bookmarkStart w:id="3277" w:name="_Toc259981612"/>
      <w:bookmarkStart w:id="3278" w:name="_Toc218143517"/>
      <w:bookmarkStart w:id="3279" w:name="_Toc231185244"/>
      <w:bookmarkStart w:id="3280" w:name="_Toc218144740"/>
      <w:bookmarkStart w:id="3281" w:name="_Toc218144238"/>
      <w:bookmarkStart w:id="3282" w:name="_Toc213477330"/>
      <w:bookmarkStart w:id="3283" w:name="_Toc128138165"/>
      <w:bookmarkStart w:id="3284" w:name="_Toc213407925"/>
      <w:bookmarkStart w:id="3285" w:name="_Toc212875182"/>
      <w:bookmarkStart w:id="3286" w:name="_Toc128139687"/>
      <w:bookmarkStart w:id="3287" w:name="_Toc128137487"/>
      <w:bookmarkStart w:id="3288" w:name="_Toc128139406"/>
      <w:bookmarkStart w:id="3289" w:name="_Toc128140095"/>
      <w:bookmarkStart w:id="3290" w:name="_Toc218142257"/>
      <w:bookmarkStart w:id="3291" w:name="_Toc218144489"/>
      <w:bookmarkStart w:id="3292" w:name="_Toc4340"/>
      <w:bookmarkStart w:id="3293" w:name="_Toc128139193"/>
      <w:bookmarkStart w:id="3294" w:name="_Toc128141086"/>
      <w:bookmarkStart w:id="3295" w:name="_Toc218142006"/>
      <w:bookmarkStart w:id="3296" w:name="_Toc218145291"/>
      <w:bookmarkStart w:id="3297" w:name="_Toc234326079"/>
      <w:bookmarkStart w:id="3298" w:name="_Toc214704029"/>
      <w:bookmarkStart w:id="3299" w:name="_Toc218141755"/>
      <w:bookmarkStart w:id="3300" w:name="_Toc131867968"/>
      <w:bookmarkStart w:id="3301" w:name="_Toc234326347"/>
      <w:bookmarkStart w:id="3302" w:name="_Toc215885625"/>
      <w:bookmarkStart w:id="3303" w:name="_Toc217105842"/>
      <w:bookmarkStart w:id="3304" w:name="_Toc237702985"/>
      <w:bookmarkStart w:id="3305" w:name="_Toc128223367"/>
      <w:bookmarkStart w:id="3306" w:name="_Toc218141287"/>
      <w:bookmarkStart w:id="3307" w:name="_Toc218145873"/>
      <w:bookmarkStart w:id="3308" w:name="_Toc218144991"/>
      <w:bookmarkStart w:id="3309" w:name="_Toc218147416"/>
      <w:r>
        <w:rPr>
          <w:sz w:val="21"/>
          <w:szCs w:val="21"/>
        </w:rPr>
        <w:t>任务、职责范围及接口计划建议书</w:t>
      </w:r>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p>
    <w:p w14:paraId="4FF9380A">
      <w:pPr>
        <w:pStyle w:val="5"/>
        <w:rPr>
          <w:color w:val="auto"/>
          <w:szCs w:val="21"/>
        </w:rPr>
      </w:pPr>
      <w:r>
        <w:rPr>
          <w:color w:val="auto"/>
          <w:szCs w:val="21"/>
        </w:rPr>
        <w:t>根据本招标文件的要求，编制本</w:t>
      </w:r>
      <w:r>
        <w:rPr>
          <w:rFonts w:hint="eastAsia"/>
          <w:color w:val="auto"/>
          <w:szCs w:val="21"/>
        </w:rPr>
        <w:t>项目</w:t>
      </w:r>
      <w:r>
        <w:rPr>
          <w:color w:val="auto"/>
          <w:szCs w:val="21"/>
        </w:rPr>
        <w:t>的接口计划建议书。</w:t>
      </w:r>
    </w:p>
    <w:p w14:paraId="7B01763F">
      <w:pPr>
        <w:pStyle w:val="4"/>
        <w:rPr>
          <w:sz w:val="21"/>
          <w:szCs w:val="21"/>
        </w:rPr>
      </w:pPr>
      <w:bookmarkStart w:id="3310" w:name="_Toc128140660"/>
      <w:bookmarkStart w:id="3311" w:name="_Toc231185242"/>
      <w:bookmarkStart w:id="3312" w:name="_Toc128121026"/>
      <w:bookmarkStart w:id="3313" w:name="_Toc218143946"/>
      <w:bookmarkStart w:id="3314" w:name="_Toc213477574"/>
      <w:bookmarkStart w:id="3315" w:name="_Toc22537"/>
      <w:bookmarkStart w:id="3316" w:name="_Toc214704276"/>
      <w:bookmarkStart w:id="3317" w:name="_Toc218144738"/>
      <w:bookmarkStart w:id="3318" w:name="_Toc218144989"/>
      <w:bookmarkStart w:id="3319" w:name="_Toc128137485"/>
      <w:bookmarkStart w:id="3320" w:name="_Toc128141084"/>
      <w:bookmarkStart w:id="3321" w:name="_Toc234326345"/>
      <w:bookmarkStart w:id="3322" w:name="_Toc128139404"/>
      <w:bookmarkStart w:id="3323" w:name="_Toc128140093"/>
      <w:bookmarkStart w:id="3324" w:name="_Toc128137901"/>
      <w:bookmarkStart w:id="3325" w:name="_Toc128223365"/>
      <w:bookmarkStart w:id="3326" w:name="_Toc128138163"/>
      <w:bookmarkStart w:id="3327" w:name="_Toc218145289"/>
      <w:bookmarkStart w:id="3328" w:name="_Toc218142004"/>
      <w:bookmarkStart w:id="3329" w:name="_Toc128138780"/>
      <w:bookmarkStart w:id="3330" w:name="_Toc128138409"/>
      <w:bookmarkStart w:id="3331" w:name="_Toc290373494"/>
      <w:bookmarkStart w:id="3332" w:name="_Toc234326613"/>
      <w:bookmarkStart w:id="3333" w:name="_Toc237702983"/>
      <w:bookmarkStart w:id="3334" w:name="_Toc214704027"/>
      <w:bookmarkStart w:id="3335" w:name="_Toc131867966"/>
      <w:bookmarkStart w:id="3336" w:name="_Toc234326077"/>
      <w:bookmarkStart w:id="3337" w:name="_Toc218142255"/>
      <w:bookmarkStart w:id="3338" w:name="_Toc234326881"/>
      <w:bookmarkStart w:id="3339" w:name="_Toc215885623"/>
      <w:bookmarkStart w:id="3340" w:name="_Toc218143515"/>
      <w:bookmarkStart w:id="3341" w:name="_Toc218147665"/>
      <w:bookmarkStart w:id="3342" w:name="_Toc213477328"/>
      <w:bookmarkStart w:id="3343" w:name="_Toc218141753"/>
      <w:bookmarkStart w:id="3344" w:name="_Toc218147414"/>
      <w:bookmarkStart w:id="3345" w:name="_Toc259981610"/>
      <w:bookmarkStart w:id="3346" w:name="_Toc213407923"/>
      <w:bookmarkStart w:id="3347" w:name="_Toc215889536"/>
      <w:bookmarkStart w:id="3348" w:name="_Toc128122996"/>
      <w:bookmarkStart w:id="3349" w:name="_Toc128139685"/>
      <w:bookmarkStart w:id="3350" w:name="_Toc218145871"/>
      <w:bookmarkStart w:id="3351" w:name="_Toc218144236"/>
      <w:bookmarkStart w:id="3352" w:name="_Toc214704525"/>
      <w:bookmarkStart w:id="3353" w:name="_Toc128139191"/>
      <w:bookmarkStart w:id="3354" w:name="_Toc26229"/>
      <w:bookmarkStart w:id="3355" w:name="_Toc218141285"/>
      <w:bookmarkStart w:id="3356" w:name="_Toc217105840"/>
      <w:bookmarkStart w:id="3357" w:name="_Toc212875180"/>
      <w:bookmarkStart w:id="3358" w:name="_Toc218144487"/>
      <w:r>
        <w:rPr>
          <w:sz w:val="21"/>
          <w:szCs w:val="21"/>
        </w:rPr>
        <w:t>项目管理计划书</w:t>
      </w:r>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p>
    <w:p w14:paraId="31A0798B">
      <w:pPr>
        <w:pStyle w:val="5"/>
        <w:rPr>
          <w:color w:val="auto"/>
          <w:szCs w:val="21"/>
        </w:rPr>
      </w:pPr>
      <w:r>
        <w:rPr>
          <w:color w:val="auto"/>
          <w:szCs w:val="21"/>
        </w:rPr>
        <w:t>根据本招标文件的要求，编制本项目的管理计划书。</w:t>
      </w:r>
      <w:r>
        <w:rPr>
          <w:rFonts w:hint="eastAsia"/>
          <w:color w:val="auto"/>
          <w:szCs w:val="21"/>
        </w:rPr>
        <w:t>内容包括</w:t>
      </w:r>
      <w:r>
        <w:rPr>
          <w:rFonts w:hint="eastAsia"/>
          <w:color w:val="auto"/>
          <w:szCs w:val="21"/>
          <w:lang w:eastAsia="zh-CN"/>
        </w:rPr>
        <w:t>技术</w:t>
      </w:r>
      <w:r>
        <w:rPr>
          <w:rFonts w:hint="eastAsia"/>
          <w:color w:val="auto"/>
          <w:szCs w:val="21"/>
        </w:rPr>
        <w:t>联络、制造、检验、</w:t>
      </w:r>
      <w:r>
        <w:rPr>
          <w:rFonts w:hint="eastAsia"/>
          <w:color w:val="auto"/>
          <w:szCs w:val="21"/>
          <w:lang w:val="en-US" w:eastAsia="zh-CN"/>
        </w:rPr>
        <w:t>部署</w:t>
      </w:r>
      <w:r>
        <w:rPr>
          <w:rFonts w:hint="eastAsia"/>
          <w:color w:val="auto"/>
          <w:szCs w:val="21"/>
          <w:lang w:val="en-US"/>
        </w:rPr>
        <w:t>、</w:t>
      </w:r>
      <w:r>
        <w:rPr>
          <w:rFonts w:hint="eastAsia"/>
          <w:color w:val="auto"/>
          <w:szCs w:val="21"/>
        </w:rPr>
        <w:t>系统调试、竣工、售后服务等全过程的项目管理。</w:t>
      </w:r>
      <w:r>
        <w:rPr>
          <w:color w:val="auto"/>
          <w:szCs w:val="21"/>
        </w:rPr>
        <w:t>投标人可根据</w:t>
      </w:r>
      <w:r>
        <w:rPr>
          <w:rFonts w:hint="eastAsia"/>
          <w:color w:val="auto"/>
          <w:szCs w:val="21"/>
        </w:rPr>
        <w:t>自身</w:t>
      </w:r>
      <w:r>
        <w:rPr>
          <w:color w:val="auto"/>
          <w:szCs w:val="21"/>
        </w:rPr>
        <w:t>经验，提出招标文件要求以外的更好的建议。</w:t>
      </w:r>
    </w:p>
    <w:p w14:paraId="0B8951B0">
      <w:pPr>
        <w:pStyle w:val="4"/>
        <w:rPr>
          <w:sz w:val="21"/>
          <w:szCs w:val="21"/>
        </w:rPr>
      </w:pPr>
      <w:bookmarkStart w:id="3359" w:name="_Toc4190"/>
      <w:bookmarkStart w:id="3360" w:name="_Toc237702984"/>
      <w:bookmarkStart w:id="3361" w:name="_Toc215889537"/>
      <w:bookmarkStart w:id="3362" w:name="_Toc214704526"/>
      <w:bookmarkStart w:id="3363" w:name="_Toc215885624"/>
      <w:bookmarkStart w:id="3364" w:name="_Toc128138164"/>
      <w:bookmarkStart w:id="3365" w:name="_Toc218143516"/>
      <w:bookmarkStart w:id="3366" w:name="_Toc213477329"/>
      <w:bookmarkStart w:id="3367" w:name="_Toc128138781"/>
      <w:bookmarkStart w:id="3368" w:name="_Toc218142005"/>
      <w:bookmarkStart w:id="3369" w:name="_Toc128139192"/>
      <w:bookmarkStart w:id="3370" w:name="_Toc128122997"/>
      <w:bookmarkStart w:id="3371" w:name="_Toc218144990"/>
      <w:bookmarkStart w:id="3372" w:name="_Toc218142256"/>
      <w:bookmarkStart w:id="3373" w:name="_Toc218144237"/>
      <w:bookmarkStart w:id="3374" w:name="_Toc128139686"/>
      <w:bookmarkStart w:id="3375" w:name="_Toc218147666"/>
      <w:bookmarkStart w:id="3376" w:name="_Toc128121027"/>
      <w:bookmarkStart w:id="3377" w:name="_Toc128223366"/>
      <w:bookmarkStart w:id="3378" w:name="_Toc218145290"/>
      <w:bookmarkStart w:id="3379" w:name="_Toc128139405"/>
      <w:bookmarkStart w:id="3380" w:name="_Toc213477575"/>
      <w:bookmarkStart w:id="3381" w:name="_Toc213407924"/>
      <w:bookmarkStart w:id="3382" w:name="_Toc218141754"/>
      <w:bookmarkStart w:id="3383" w:name="_Toc218144739"/>
      <w:bookmarkStart w:id="3384" w:name="_Toc218141286"/>
      <w:bookmarkStart w:id="3385" w:name="_Toc234326346"/>
      <w:bookmarkStart w:id="3386" w:name="_Toc234326078"/>
      <w:bookmarkStart w:id="3387" w:name="_Toc212875181"/>
      <w:bookmarkStart w:id="3388" w:name="_Toc259981611"/>
      <w:bookmarkStart w:id="3389" w:name="_Toc128137486"/>
      <w:bookmarkStart w:id="3390" w:name="_Toc218147415"/>
      <w:bookmarkStart w:id="3391" w:name="_Toc234326882"/>
      <w:bookmarkStart w:id="3392" w:name="_Toc218144488"/>
      <w:bookmarkStart w:id="3393" w:name="_Toc214704277"/>
      <w:bookmarkStart w:id="3394" w:name="_Toc128140094"/>
      <w:bookmarkStart w:id="3395" w:name="_Toc128137902"/>
      <w:bookmarkStart w:id="3396" w:name="_Toc217105841"/>
      <w:bookmarkStart w:id="3397" w:name="_Toc128141085"/>
      <w:bookmarkStart w:id="3398" w:name="_Toc131867967"/>
      <w:bookmarkStart w:id="3399" w:name="_Toc234326614"/>
      <w:bookmarkStart w:id="3400" w:name="_Toc231185243"/>
      <w:bookmarkStart w:id="3401" w:name="_Toc290373495"/>
      <w:bookmarkStart w:id="3402" w:name="_Toc128138410"/>
      <w:bookmarkStart w:id="3403" w:name="_Toc218143947"/>
      <w:bookmarkStart w:id="3404" w:name="_Toc128140661"/>
      <w:bookmarkStart w:id="3405" w:name="_Toc214704028"/>
      <w:bookmarkStart w:id="3406" w:name="_Toc218145872"/>
      <w:r>
        <w:rPr>
          <w:rFonts w:hint="eastAsia"/>
          <w:sz w:val="21"/>
          <w:szCs w:val="21"/>
          <w:lang w:eastAsia="zh-CN"/>
        </w:rPr>
        <w:t>技术</w:t>
      </w:r>
      <w:r>
        <w:rPr>
          <w:sz w:val="21"/>
          <w:szCs w:val="21"/>
        </w:rPr>
        <w:t>联络建议书</w:t>
      </w:r>
      <w:bookmarkEnd w:id="3359"/>
    </w:p>
    <w:p w14:paraId="0A99D84F">
      <w:pPr>
        <w:pStyle w:val="5"/>
        <w:rPr>
          <w:color w:val="auto"/>
          <w:szCs w:val="21"/>
        </w:rPr>
      </w:pPr>
      <w:r>
        <w:rPr>
          <w:color w:val="auto"/>
          <w:szCs w:val="21"/>
        </w:rPr>
        <w:t>根据本招标文件的要求，编制本</w:t>
      </w:r>
      <w:r>
        <w:rPr>
          <w:rFonts w:hint="eastAsia"/>
          <w:color w:val="auto"/>
          <w:szCs w:val="21"/>
        </w:rPr>
        <w:t>项目</w:t>
      </w:r>
      <w:r>
        <w:rPr>
          <w:color w:val="auto"/>
          <w:szCs w:val="21"/>
        </w:rPr>
        <w:t>的</w:t>
      </w:r>
      <w:r>
        <w:rPr>
          <w:rFonts w:hint="eastAsia"/>
          <w:color w:val="auto"/>
          <w:szCs w:val="21"/>
          <w:lang w:eastAsia="zh-CN"/>
        </w:rPr>
        <w:t>技术</w:t>
      </w:r>
      <w:r>
        <w:rPr>
          <w:color w:val="auto"/>
          <w:szCs w:val="21"/>
        </w:rPr>
        <w:t>联络建议书。</w:t>
      </w:r>
    </w:p>
    <w:p w14:paraId="06691324">
      <w:pPr>
        <w:pStyle w:val="4"/>
        <w:rPr>
          <w:sz w:val="21"/>
          <w:szCs w:val="21"/>
        </w:rPr>
      </w:pPr>
      <w:bookmarkStart w:id="3407" w:name="_Toc2933"/>
      <w:bookmarkStart w:id="3408" w:name="_Toc16465"/>
      <w:r>
        <w:rPr>
          <w:sz w:val="21"/>
          <w:szCs w:val="21"/>
        </w:rPr>
        <w:t>系统质量保证计划书</w:t>
      </w:r>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p>
    <w:p w14:paraId="6A69A749">
      <w:pPr>
        <w:pStyle w:val="5"/>
        <w:rPr>
          <w:color w:val="auto"/>
          <w:szCs w:val="21"/>
        </w:rPr>
      </w:pPr>
      <w:r>
        <w:rPr>
          <w:color w:val="auto"/>
          <w:szCs w:val="21"/>
        </w:rPr>
        <w:t>根据本招标文件的要求，编制</w:t>
      </w:r>
      <w:r>
        <w:rPr>
          <w:rFonts w:hint="eastAsia"/>
          <w:color w:val="auto"/>
          <w:szCs w:val="21"/>
        </w:rPr>
        <w:t>本项目</w:t>
      </w:r>
      <w:r>
        <w:rPr>
          <w:color w:val="auto"/>
          <w:szCs w:val="21"/>
        </w:rPr>
        <w:t>的系统质量保证计划书</w:t>
      </w:r>
      <w:r>
        <w:rPr>
          <w:rFonts w:hint="eastAsia"/>
          <w:color w:val="auto"/>
          <w:szCs w:val="21"/>
        </w:rPr>
        <w:t>，内容包括</w:t>
      </w:r>
      <w:r>
        <w:rPr>
          <w:rFonts w:hint="eastAsia"/>
          <w:color w:val="auto"/>
          <w:szCs w:val="21"/>
          <w:lang w:eastAsia="zh-CN"/>
        </w:rPr>
        <w:t>技术</w:t>
      </w:r>
      <w:r>
        <w:rPr>
          <w:rFonts w:hint="eastAsia"/>
          <w:color w:val="auto"/>
          <w:szCs w:val="21"/>
        </w:rPr>
        <w:t>联络、制造、检验、</w:t>
      </w:r>
      <w:r>
        <w:rPr>
          <w:rFonts w:hint="eastAsia"/>
          <w:color w:val="auto"/>
          <w:szCs w:val="21"/>
          <w:lang w:val="en-US" w:eastAsia="zh-CN"/>
        </w:rPr>
        <w:t>部署</w:t>
      </w:r>
      <w:r>
        <w:rPr>
          <w:rFonts w:hint="eastAsia"/>
          <w:color w:val="auto"/>
          <w:szCs w:val="21"/>
          <w:lang w:val="en-US"/>
        </w:rPr>
        <w:t>、</w:t>
      </w:r>
      <w:r>
        <w:rPr>
          <w:rFonts w:hint="eastAsia"/>
          <w:color w:val="auto"/>
          <w:szCs w:val="21"/>
        </w:rPr>
        <w:t>系统调试、竣工、售后服务等全过程的质量保证实施方案</w:t>
      </w:r>
      <w:r>
        <w:rPr>
          <w:color w:val="auto"/>
          <w:szCs w:val="21"/>
        </w:rPr>
        <w:t>。</w:t>
      </w:r>
    </w:p>
    <w:p w14:paraId="3A4E99A8">
      <w:pPr>
        <w:pStyle w:val="4"/>
        <w:rPr>
          <w:sz w:val="21"/>
          <w:szCs w:val="21"/>
        </w:rPr>
      </w:pPr>
      <w:bookmarkStart w:id="3409" w:name="_Toc218144239"/>
      <w:bookmarkStart w:id="3410" w:name="_Toc128141087"/>
      <w:bookmarkStart w:id="3411" w:name="_Toc217105843"/>
      <w:bookmarkStart w:id="3412" w:name="_Toc234326348"/>
      <w:bookmarkStart w:id="3413" w:name="_Toc215889539"/>
      <w:bookmarkStart w:id="3414" w:name="_Toc128140663"/>
      <w:bookmarkStart w:id="3415" w:name="_Toc128137904"/>
      <w:bookmarkStart w:id="3416" w:name="_Toc290373497"/>
      <w:bookmarkStart w:id="3417" w:name="_Toc218144490"/>
      <w:bookmarkStart w:id="3418" w:name="_Toc128139407"/>
      <w:bookmarkStart w:id="3419" w:name="_Toc218143949"/>
      <w:bookmarkStart w:id="3420" w:name="_Toc218145292"/>
      <w:bookmarkStart w:id="3421" w:name="_Toc231185245"/>
      <w:bookmarkStart w:id="3422" w:name="_Toc234326616"/>
      <w:bookmarkStart w:id="3423" w:name="_Toc218141288"/>
      <w:bookmarkStart w:id="3424" w:name="_Toc11378"/>
      <w:bookmarkStart w:id="3425" w:name="_Toc237702986"/>
      <w:bookmarkStart w:id="3426" w:name="_Toc218141756"/>
      <w:bookmarkStart w:id="3427" w:name="_Toc131867969"/>
      <w:bookmarkStart w:id="3428" w:name="_Toc214704528"/>
      <w:bookmarkStart w:id="3429" w:name="_Toc213407926"/>
      <w:bookmarkStart w:id="3430" w:name="_Toc218144741"/>
      <w:bookmarkStart w:id="3431" w:name="_Toc128137488"/>
      <w:bookmarkStart w:id="3432" w:name="_Toc218147417"/>
      <w:bookmarkStart w:id="3433" w:name="_Toc128139688"/>
      <w:bookmarkStart w:id="3434" w:name="_Toc128121029"/>
      <w:bookmarkStart w:id="3435" w:name="_Toc218143518"/>
      <w:bookmarkStart w:id="3436" w:name="_Toc234326080"/>
      <w:bookmarkStart w:id="3437" w:name="_Toc218147668"/>
      <w:bookmarkStart w:id="3438" w:name="_Toc128138166"/>
      <w:bookmarkStart w:id="3439" w:name="_Toc218145874"/>
      <w:bookmarkStart w:id="3440" w:name="_Toc259981613"/>
      <w:bookmarkStart w:id="3441" w:name="_Toc128139194"/>
      <w:bookmarkStart w:id="3442" w:name="_Toc128223368"/>
      <w:bookmarkStart w:id="3443" w:name="_Toc214704030"/>
      <w:bookmarkStart w:id="3444" w:name="_Toc215885626"/>
      <w:bookmarkStart w:id="3445" w:name="_Toc128138412"/>
      <w:bookmarkStart w:id="3446" w:name="_Toc218144992"/>
      <w:bookmarkStart w:id="3447" w:name="_Toc218142258"/>
      <w:bookmarkStart w:id="3448" w:name="_Toc234326884"/>
      <w:bookmarkStart w:id="3449" w:name="_Toc128138783"/>
      <w:bookmarkStart w:id="3450" w:name="_Toc213477331"/>
      <w:bookmarkStart w:id="3451" w:name="_Toc128122999"/>
      <w:bookmarkStart w:id="3452" w:name="_Toc212875183"/>
      <w:bookmarkStart w:id="3453" w:name="_Toc213477577"/>
      <w:bookmarkStart w:id="3454" w:name="_Toc128140096"/>
      <w:bookmarkStart w:id="3455" w:name="_Toc218142007"/>
      <w:bookmarkStart w:id="3456" w:name="_Toc24724"/>
      <w:bookmarkStart w:id="3457" w:name="_Toc214704279"/>
      <w:r>
        <w:rPr>
          <w:sz w:val="21"/>
          <w:szCs w:val="21"/>
        </w:rPr>
        <w:t>测试、检验及验收计划建议书</w:t>
      </w:r>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p>
    <w:p w14:paraId="462ECA6F">
      <w:pPr>
        <w:pStyle w:val="5"/>
        <w:rPr>
          <w:color w:val="auto"/>
          <w:szCs w:val="21"/>
        </w:rPr>
      </w:pPr>
      <w:r>
        <w:rPr>
          <w:color w:val="auto"/>
          <w:szCs w:val="21"/>
        </w:rPr>
        <w:t>根据本招标文件的要求，编制本项目的测试、检验及验收计划建议书。</w:t>
      </w:r>
    </w:p>
    <w:p w14:paraId="140F7707">
      <w:pPr>
        <w:pStyle w:val="4"/>
        <w:rPr>
          <w:sz w:val="21"/>
          <w:szCs w:val="21"/>
        </w:rPr>
      </w:pPr>
      <w:bookmarkStart w:id="3458" w:name="_Toc218141289"/>
      <w:bookmarkStart w:id="3459" w:name="_Toc217105844"/>
      <w:bookmarkStart w:id="3460" w:name="_Toc218143519"/>
      <w:bookmarkStart w:id="3461" w:name="_Toc213477332"/>
      <w:bookmarkStart w:id="3462" w:name="_Toc214704031"/>
      <w:bookmarkStart w:id="3463" w:name="_Toc213407927"/>
      <w:bookmarkStart w:id="3464" w:name="_Toc128138167"/>
      <w:bookmarkStart w:id="3465" w:name="_Toc128141088"/>
      <w:bookmarkStart w:id="3466" w:name="_Toc128140097"/>
      <w:bookmarkStart w:id="3467" w:name="_Toc218147418"/>
      <w:bookmarkStart w:id="3468" w:name="_Toc214704280"/>
      <w:bookmarkStart w:id="3469" w:name="_Toc128223369"/>
      <w:bookmarkStart w:id="3470" w:name="_Toc218142008"/>
      <w:bookmarkStart w:id="3471" w:name="_Toc131867970"/>
      <w:bookmarkStart w:id="3472" w:name="_Toc218141757"/>
      <w:bookmarkStart w:id="3473" w:name="_Toc259981614"/>
      <w:bookmarkStart w:id="3474" w:name="_Toc234326885"/>
      <w:bookmarkStart w:id="3475" w:name="_Toc128137489"/>
      <w:bookmarkStart w:id="3476" w:name="_Toc218142259"/>
      <w:bookmarkStart w:id="3477" w:name="_Toc128138413"/>
      <w:bookmarkStart w:id="3478" w:name="_Toc218145293"/>
      <w:bookmarkStart w:id="3479" w:name="_Toc128139195"/>
      <w:bookmarkStart w:id="3480" w:name="_Toc237702987"/>
      <w:bookmarkStart w:id="3481" w:name="_Toc128123000"/>
      <w:bookmarkStart w:id="3482" w:name="_Toc231185246"/>
      <w:bookmarkStart w:id="3483" w:name="_Toc128138784"/>
      <w:bookmarkStart w:id="3484" w:name="_Toc234326617"/>
      <w:bookmarkStart w:id="3485" w:name="_Toc218144240"/>
      <w:bookmarkStart w:id="3486" w:name="_Toc290373498"/>
      <w:bookmarkStart w:id="3487" w:name="_Toc213477578"/>
      <w:bookmarkStart w:id="3488" w:name="_Toc218143950"/>
      <w:bookmarkStart w:id="3489" w:name="_Toc218147669"/>
      <w:bookmarkStart w:id="3490" w:name="_Toc215889540"/>
      <w:bookmarkStart w:id="3491" w:name="_Toc218144742"/>
      <w:bookmarkStart w:id="3492" w:name="_Toc234326081"/>
      <w:bookmarkStart w:id="3493" w:name="_Toc214704529"/>
      <w:bookmarkStart w:id="3494" w:name="_Toc218145875"/>
      <w:bookmarkStart w:id="3495" w:name="_Toc32428"/>
      <w:bookmarkStart w:id="3496" w:name="_Toc128137905"/>
      <w:bookmarkStart w:id="3497" w:name="_Toc128140664"/>
      <w:bookmarkStart w:id="3498" w:name="_Toc218144491"/>
      <w:bookmarkStart w:id="3499" w:name="_Toc234326349"/>
      <w:bookmarkStart w:id="3500" w:name="_Toc218144993"/>
      <w:bookmarkStart w:id="3501" w:name="_Toc128139689"/>
      <w:bookmarkStart w:id="3502" w:name="_Toc128121030"/>
      <w:bookmarkStart w:id="3503" w:name="_Toc21173"/>
      <w:bookmarkStart w:id="3504" w:name="_Toc128139408"/>
      <w:bookmarkStart w:id="3505" w:name="_Toc212875184"/>
      <w:bookmarkStart w:id="3506" w:name="_Toc215885627"/>
      <w:r>
        <w:rPr>
          <w:sz w:val="21"/>
          <w:szCs w:val="21"/>
        </w:rPr>
        <w:t>图纸、手册和技术文件清单及说明</w:t>
      </w:r>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p>
    <w:p w14:paraId="0579F266">
      <w:pPr>
        <w:pStyle w:val="5"/>
        <w:rPr>
          <w:color w:val="auto"/>
          <w:szCs w:val="21"/>
        </w:rPr>
      </w:pPr>
      <w:r>
        <w:rPr>
          <w:color w:val="auto"/>
          <w:szCs w:val="21"/>
        </w:rPr>
        <w:t>根据本招标文件的要求，编制本项目的图纸、手册和技术文件目录清单，清单说明内容应至少包含所供系统说明、设备的技术说明、设备的安装文件、设备的使用文件、设备的维护文件等，并进行详细说明。</w:t>
      </w:r>
    </w:p>
    <w:p w14:paraId="4DBF4E2C">
      <w:pPr>
        <w:pStyle w:val="4"/>
        <w:rPr>
          <w:sz w:val="21"/>
          <w:szCs w:val="21"/>
        </w:rPr>
      </w:pPr>
      <w:bookmarkStart w:id="3507" w:name="_Toc218145295"/>
      <w:bookmarkStart w:id="3508" w:name="_Toc128139691"/>
      <w:bookmarkStart w:id="3509" w:name="_Toc218144744"/>
      <w:bookmarkStart w:id="3510" w:name="_Toc128138786"/>
      <w:bookmarkStart w:id="3511" w:name="_Toc231185248"/>
      <w:bookmarkStart w:id="3512" w:name="_Toc218142261"/>
      <w:bookmarkStart w:id="3513" w:name="_Toc218144995"/>
      <w:bookmarkStart w:id="3514" w:name="_Toc218141291"/>
      <w:bookmarkStart w:id="3515" w:name="_Toc234326887"/>
      <w:bookmarkStart w:id="3516" w:name="_Toc128138169"/>
      <w:bookmarkStart w:id="3517" w:name="_Toc218145877"/>
      <w:bookmarkStart w:id="3518" w:name="_Toc128137491"/>
      <w:bookmarkStart w:id="3519" w:name="_Toc237702989"/>
      <w:bookmarkStart w:id="3520" w:name="_Toc215889542"/>
      <w:bookmarkStart w:id="3521" w:name="_Toc215885629"/>
      <w:bookmarkStart w:id="3522" w:name="_Toc218144493"/>
      <w:bookmarkStart w:id="3523" w:name="_Toc214704033"/>
      <w:bookmarkStart w:id="3524" w:name="_Toc128141090"/>
      <w:bookmarkStart w:id="3525" w:name="_Toc213477580"/>
      <w:bookmarkStart w:id="3526" w:name="_Toc214704282"/>
      <w:bookmarkStart w:id="3527" w:name="_Toc128140666"/>
      <w:bookmarkStart w:id="3528" w:name="_Toc22699"/>
      <w:bookmarkStart w:id="3529" w:name="_Toc259981616"/>
      <w:bookmarkStart w:id="3530" w:name="_Toc128123002"/>
      <w:bookmarkStart w:id="3531" w:name="_Toc290373500"/>
      <w:bookmarkStart w:id="3532" w:name="_Toc234326351"/>
      <w:bookmarkStart w:id="3533" w:name="_Toc213407929"/>
      <w:bookmarkStart w:id="3534" w:name="_Toc131867972"/>
      <w:bookmarkStart w:id="3535" w:name="_Toc218144242"/>
      <w:bookmarkStart w:id="3536" w:name="_Toc234326619"/>
      <w:bookmarkStart w:id="3537" w:name="_Toc218147671"/>
      <w:bookmarkStart w:id="3538" w:name="_Toc128140099"/>
      <w:bookmarkStart w:id="3539" w:name="_Toc212875186"/>
      <w:bookmarkStart w:id="3540" w:name="_Toc128138415"/>
      <w:bookmarkStart w:id="3541" w:name="_Toc218142010"/>
      <w:bookmarkStart w:id="3542" w:name="_Toc218147420"/>
      <w:bookmarkStart w:id="3543" w:name="_Toc14894"/>
      <w:bookmarkStart w:id="3544" w:name="_Toc213477334"/>
      <w:bookmarkStart w:id="3545" w:name="_Toc218143521"/>
      <w:bookmarkStart w:id="3546" w:name="_Toc128139197"/>
      <w:bookmarkStart w:id="3547" w:name="_Toc128137907"/>
      <w:bookmarkStart w:id="3548" w:name="_Toc128223371"/>
      <w:bookmarkStart w:id="3549" w:name="_Toc128121032"/>
      <w:bookmarkStart w:id="3550" w:name="_Toc214704531"/>
      <w:bookmarkStart w:id="3551" w:name="_Toc218143952"/>
      <w:bookmarkStart w:id="3552" w:name="_Toc218141759"/>
      <w:bookmarkStart w:id="3553" w:name="_Toc234326083"/>
      <w:bookmarkStart w:id="3554" w:name="_Toc217105846"/>
      <w:bookmarkStart w:id="3555" w:name="_Toc128139410"/>
      <w:r>
        <w:rPr>
          <w:sz w:val="21"/>
          <w:szCs w:val="21"/>
        </w:rPr>
        <w:t>培训建议书</w:t>
      </w:r>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p>
    <w:p w14:paraId="37B5AAC5">
      <w:pPr>
        <w:pStyle w:val="5"/>
        <w:rPr>
          <w:color w:val="auto"/>
          <w:szCs w:val="21"/>
        </w:rPr>
      </w:pPr>
      <w:r>
        <w:rPr>
          <w:color w:val="auto"/>
          <w:szCs w:val="21"/>
        </w:rPr>
        <w:t>根据本招标文件的要求，编制本项目的培训建议书。</w:t>
      </w:r>
    </w:p>
    <w:p w14:paraId="12B44BF9">
      <w:pPr>
        <w:pStyle w:val="4"/>
        <w:rPr>
          <w:sz w:val="21"/>
          <w:szCs w:val="21"/>
        </w:rPr>
      </w:pPr>
      <w:bookmarkStart w:id="3556" w:name="_Toc20217"/>
      <w:bookmarkStart w:id="3557" w:name="_Toc24373"/>
      <w:bookmarkStart w:id="3558" w:name="_Toc335141362"/>
      <w:r>
        <w:rPr>
          <w:rFonts w:hint="eastAsia"/>
          <w:sz w:val="21"/>
          <w:szCs w:val="21"/>
        </w:rPr>
        <w:t>质保期内的运营维护</w:t>
      </w:r>
      <w:bookmarkEnd w:id="3556"/>
      <w:bookmarkEnd w:id="3557"/>
      <w:bookmarkEnd w:id="3558"/>
    </w:p>
    <w:p w14:paraId="76C2A1D4">
      <w:pPr>
        <w:pStyle w:val="5"/>
        <w:rPr>
          <w:color w:val="auto"/>
          <w:szCs w:val="21"/>
        </w:rPr>
      </w:pPr>
      <w:r>
        <w:rPr>
          <w:color w:val="auto"/>
          <w:szCs w:val="21"/>
        </w:rPr>
        <w:t>根据本招标文件的要求，编制</w:t>
      </w:r>
      <w:r>
        <w:rPr>
          <w:rFonts w:hint="eastAsia"/>
          <w:color w:val="auto"/>
          <w:szCs w:val="21"/>
        </w:rPr>
        <w:t>本项目系统</w:t>
      </w:r>
      <w:r>
        <w:rPr>
          <w:color w:val="auto"/>
          <w:szCs w:val="21"/>
        </w:rPr>
        <w:t>设备采购</w:t>
      </w:r>
      <w:r>
        <w:rPr>
          <w:rFonts w:hint="eastAsia"/>
          <w:color w:val="auto"/>
          <w:szCs w:val="21"/>
        </w:rPr>
        <w:t>及安装</w:t>
      </w:r>
      <w:r>
        <w:rPr>
          <w:color w:val="auto"/>
          <w:szCs w:val="21"/>
        </w:rPr>
        <w:t>项目</w:t>
      </w:r>
      <w:r>
        <w:rPr>
          <w:rFonts w:hint="eastAsia"/>
          <w:color w:val="auto"/>
          <w:szCs w:val="21"/>
        </w:rPr>
        <w:t>质保期内的运营维护</w:t>
      </w:r>
      <w:r>
        <w:rPr>
          <w:color w:val="auto"/>
          <w:szCs w:val="21"/>
        </w:rPr>
        <w:t>建议书。</w:t>
      </w:r>
    </w:p>
    <w:p w14:paraId="6590442A">
      <w:pPr>
        <w:pStyle w:val="4"/>
        <w:rPr>
          <w:sz w:val="21"/>
          <w:szCs w:val="21"/>
        </w:rPr>
      </w:pPr>
      <w:bookmarkStart w:id="3559" w:name="_Toc14912"/>
      <w:bookmarkStart w:id="3560" w:name="_Toc24725"/>
      <w:r>
        <w:rPr>
          <w:rFonts w:hint="eastAsia"/>
          <w:sz w:val="21"/>
          <w:szCs w:val="21"/>
        </w:rPr>
        <w:t>投标人的专项承诺</w:t>
      </w:r>
      <w:bookmarkEnd w:id="3559"/>
      <w:bookmarkEnd w:id="3560"/>
    </w:p>
    <w:p w14:paraId="3D8C6D63">
      <w:pPr>
        <w:pStyle w:val="5"/>
        <w:rPr>
          <w:color w:val="auto"/>
          <w:szCs w:val="21"/>
        </w:rPr>
      </w:pPr>
      <w:r>
        <w:rPr>
          <w:rFonts w:hint="eastAsia"/>
          <w:color w:val="auto"/>
          <w:szCs w:val="21"/>
        </w:rPr>
        <w:t>投标人须仔细核对本用户需求书中需要投标人承诺的内容，并在本章内以列表或条款的形式逐条进行承诺（视情况附必要的说明）。凡用户需求书已列明但投标人未在本章内进行实质回复的内容，将视为投标人已承诺并已全面满足招标文件的要求，所引起的相关责任和风险由投标人自行承担。</w:t>
      </w:r>
    </w:p>
    <w:p w14:paraId="666BEF24">
      <w:pPr>
        <w:pStyle w:val="4"/>
        <w:rPr>
          <w:sz w:val="21"/>
          <w:szCs w:val="21"/>
        </w:rPr>
      </w:pPr>
      <w:bookmarkStart w:id="3561" w:name="_Toc213477582"/>
      <w:bookmarkStart w:id="3562" w:name="_Toc30041"/>
      <w:bookmarkStart w:id="3563" w:name="_Toc128140101"/>
      <w:bookmarkStart w:id="3564" w:name="_Toc218143523"/>
      <w:bookmarkStart w:id="3565" w:name="_Toc234326621"/>
      <w:bookmarkStart w:id="3566" w:name="_Toc213477336"/>
      <w:bookmarkStart w:id="3567" w:name="_Toc234326085"/>
      <w:bookmarkStart w:id="3568" w:name="_Toc128138417"/>
      <w:bookmarkStart w:id="3569" w:name="_Toc218141293"/>
      <w:bookmarkStart w:id="3570" w:name="_Toc218141761"/>
      <w:bookmarkStart w:id="3571" w:name="_Toc215889544"/>
      <w:bookmarkStart w:id="3572" w:name="_Toc212875188"/>
      <w:bookmarkStart w:id="3573" w:name="_Toc215885631"/>
      <w:bookmarkStart w:id="3574" w:name="_Toc218144495"/>
      <w:bookmarkStart w:id="3575" w:name="_Toc128138788"/>
      <w:bookmarkStart w:id="3576" w:name="_Toc259981618"/>
      <w:bookmarkStart w:id="3577" w:name="_Toc2553"/>
      <w:bookmarkStart w:id="3578" w:name="_Toc128137909"/>
      <w:bookmarkStart w:id="3579" w:name="_Toc218147673"/>
      <w:bookmarkStart w:id="3580" w:name="_Toc218147422"/>
      <w:bookmarkStart w:id="3581" w:name="_Toc231185250"/>
      <w:bookmarkStart w:id="3582" w:name="_Toc214704284"/>
      <w:bookmarkStart w:id="3583" w:name="_Toc218142012"/>
      <w:bookmarkStart w:id="3584" w:name="_Toc131867974"/>
      <w:bookmarkStart w:id="3585" w:name="_Toc290373502"/>
      <w:bookmarkStart w:id="3586" w:name="_Toc128137493"/>
      <w:bookmarkStart w:id="3587" w:name="_Toc128139693"/>
      <w:bookmarkStart w:id="3588" w:name="_Toc128140668"/>
      <w:bookmarkStart w:id="3589" w:name="_Toc213407931"/>
      <w:bookmarkStart w:id="3590" w:name="_Toc234326889"/>
      <w:bookmarkStart w:id="3591" w:name="_Toc128141092"/>
      <w:bookmarkStart w:id="3592" w:name="_Toc128121034"/>
      <w:bookmarkStart w:id="3593" w:name="_Toc128223373"/>
      <w:bookmarkStart w:id="3594" w:name="_Toc234326353"/>
      <w:bookmarkStart w:id="3595" w:name="_Toc128123004"/>
      <w:bookmarkStart w:id="3596" w:name="_Toc128139412"/>
      <w:bookmarkStart w:id="3597" w:name="_Toc128141270"/>
      <w:bookmarkStart w:id="3598" w:name="_Toc218144244"/>
      <w:bookmarkStart w:id="3599" w:name="_Toc218142263"/>
      <w:bookmarkStart w:id="3600" w:name="_Toc218145297"/>
      <w:bookmarkStart w:id="3601" w:name="_Toc218144997"/>
      <w:bookmarkStart w:id="3602" w:name="_Toc218145879"/>
      <w:bookmarkStart w:id="3603" w:name="_Toc214704533"/>
      <w:bookmarkStart w:id="3604" w:name="_Toc128139199"/>
      <w:bookmarkStart w:id="3605" w:name="_Toc128138171"/>
      <w:bookmarkStart w:id="3606" w:name="_Toc218143954"/>
      <w:bookmarkStart w:id="3607" w:name="_Toc237702991"/>
      <w:bookmarkStart w:id="3608" w:name="_Toc218144746"/>
      <w:bookmarkStart w:id="3609" w:name="_Toc214704035"/>
      <w:bookmarkStart w:id="3610" w:name="_Toc217105848"/>
      <w:r>
        <w:rPr>
          <w:sz w:val="21"/>
          <w:szCs w:val="21"/>
        </w:rPr>
        <w:t>其他建议</w:t>
      </w:r>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p>
    <w:p w14:paraId="4A7A35DF">
      <w:pPr>
        <w:pStyle w:val="5"/>
        <w:rPr>
          <w:color w:val="auto"/>
          <w:szCs w:val="21"/>
        </w:rPr>
        <w:sectPr>
          <w:footerReference r:id="rId13" w:type="first"/>
          <w:headerReference r:id="rId11" w:type="even"/>
          <w:footerReference r:id="rId12" w:type="even"/>
          <w:pgSz w:w="11906" w:h="16838"/>
          <w:pgMar w:top="1418" w:right="1418" w:bottom="1418" w:left="1418" w:header="851" w:footer="851" w:gutter="0"/>
          <w:cols w:space="720" w:num="1"/>
          <w:docGrid w:linePitch="326" w:charSpace="0"/>
        </w:sectPr>
      </w:pPr>
      <w:r>
        <w:rPr>
          <w:color w:val="auto"/>
          <w:szCs w:val="21"/>
        </w:rPr>
        <w:t>投标人可根据自身经验，结合本项目的情况及特点提出</w:t>
      </w:r>
      <w:r>
        <w:rPr>
          <w:rFonts w:hint="eastAsia"/>
          <w:color w:val="auto"/>
          <w:szCs w:val="21"/>
        </w:rPr>
        <w:t>符合</w:t>
      </w:r>
      <w:r>
        <w:rPr>
          <w:rFonts w:hint="eastAsia"/>
          <w:color w:val="auto"/>
          <w:szCs w:val="21"/>
          <w:lang w:val="en-US" w:eastAsia="zh-CN"/>
        </w:rPr>
        <w:t>管理云平台</w:t>
      </w:r>
      <w:r>
        <w:rPr>
          <w:rFonts w:hint="eastAsia"/>
          <w:color w:val="auto"/>
          <w:szCs w:val="21"/>
        </w:rPr>
        <w:t>系统发展方向的</w:t>
      </w:r>
      <w:r>
        <w:rPr>
          <w:color w:val="auto"/>
          <w:szCs w:val="21"/>
        </w:rPr>
        <w:t>合理化建议，供招标人参考选择</w:t>
      </w:r>
      <w:r>
        <w:rPr>
          <w:rFonts w:hint="eastAsia"/>
          <w:color w:val="auto"/>
          <w:szCs w:val="21"/>
        </w:rPr>
        <w:t>。</w:t>
      </w:r>
    </w:p>
    <w:p w14:paraId="7C1F9D43">
      <w:pPr>
        <w:pStyle w:val="3"/>
        <w:numPr>
          <w:ilvl w:val="0"/>
          <w:numId w:val="0"/>
        </w:numPr>
        <w:ind w:left="432"/>
        <w:jc w:val="center"/>
        <w:rPr>
          <w:sz w:val="52"/>
          <w:szCs w:val="52"/>
        </w:rPr>
      </w:pPr>
      <w:bookmarkStart w:id="3611" w:name="_Toc22232"/>
      <w:bookmarkStart w:id="3612" w:name="_Toc18585"/>
      <w:r>
        <w:rPr>
          <w:rFonts w:hint="eastAsia"/>
          <w:sz w:val="52"/>
          <w:szCs w:val="52"/>
        </w:rPr>
        <w:t>第二章专用技术要求</w:t>
      </w:r>
      <w:bookmarkEnd w:id="3611"/>
      <w:bookmarkEnd w:id="3612"/>
    </w:p>
    <w:p w14:paraId="169CCF4B">
      <w:pPr>
        <w:rPr>
          <w:sz w:val="21"/>
          <w:szCs w:val="21"/>
        </w:rPr>
      </w:pPr>
    </w:p>
    <w:p w14:paraId="3B516F21">
      <w:pPr>
        <w:rPr>
          <w:sz w:val="21"/>
          <w:szCs w:val="21"/>
        </w:rPr>
        <w:sectPr>
          <w:footerReference r:id="rId14" w:type="default"/>
          <w:footerReference r:id="rId15" w:type="even"/>
          <w:pgSz w:w="11906" w:h="16838"/>
          <w:pgMar w:top="1418" w:right="1418" w:bottom="1418" w:left="1418" w:header="851" w:footer="992" w:gutter="0"/>
          <w:cols w:space="720" w:num="1"/>
          <w:docGrid w:linePitch="312" w:charSpace="0"/>
        </w:sectPr>
      </w:pPr>
    </w:p>
    <w:p w14:paraId="789EA3BF">
      <w:pPr>
        <w:pStyle w:val="3"/>
        <w:pageBreakBefore/>
        <w:widowControl/>
        <w:numPr>
          <w:ilvl w:val="0"/>
          <w:numId w:val="39"/>
        </w:numPr>
        <w:autoSpaceDE/>
        <w:adjustRightInd w:val="0"/>
        <w:snapToGrid w:val="0"/>
        <w:spacing w:before="0" w:after="0"/>
        <w:rPr>
          <w:rFonts w:ascii="宋体" w:hAnsi="宋体" w:eastAsia="宋体" w:cs="宋体"/>
          <w:b/>
          <w:bCs/>
          <w:sz w:val="21"/>
          <w:szCs w:val="21"/>
        </w:rPr>
      </w:pPr>
      <w:bookmarkStart w:id="3613" w:name="_Toc7172"/>
      <w:bookmarkStart w:id="3614" w:name="_Toc21417"/>
      <w:r>
        <w:rPr>
          <w:rFonts w:hint="eastAsia" w:ascii="宋体" w:hAnsi="宋体" w:eastAsia="宋体" w:cs="宋体"/>
          <w:b/>
          <w:bCs/>
          <w:sz w:val="21"/>
          <w:szCs w:val="21"/>
          <w:lang w:val="en-US"/>
        </w:rPr>
        <w:t>管理</w:t>
      </w:r>
      <w:r>
        <w:rPr>
          <w:rFonts w:hint="eastAsia" w:ascii="宋体" w:hAnsi="宋体" w:eastAsia="宋体" w:cs="宋体"/>
          <w:b/>
          <w:bCs/>
          <w:sz w:val="21"/>
          <w:szCs w:val="21"/>
          <w:lang w:val="en-US" w:eastAsia="zh-CN"/>
        </w:rPr>
        <w:t>云平台</w:t>
      </w:r>
      <w:r>
        <w:rPr>
          <w:rFonts w:hint="eastAsia" w:ascii="宋体" w:hAnsi="宋体" w:eastAsia="宋体" w:cs="宋体"/>
          <w:b/>
          <w:bCs/>
          <w:sz w:val="21"/>
          <w:szCs w:val="21"/>
        </w:rPr>
        <w:t>系统</w:t>
      </w:r>
      <w:bookmarkEnd w:id="3613"/>
      <w:bookmarkEnd w:id="3614"/>
    </w:p>
    <w:p w14:paraId="33FE3EB3">
      <w:pPr>
        <w:pStyle w:val="4"/>
        <w:rPr>
          <w:sz w:val="21"/>
          <w:szCs w:val="21"/>
        </w:rPr>
      </w:pPr>
      <w:bookmarkStart w:id="3615" w:name="_Toc11319"/>
      <w:bookmarkStart w:id="3616" w:name="_Toc29903"/>
      <w:bookmarkStart w:id="3617" w:name="_Toc378165070"/>
      <w:r>
        <w:rPr>
          <w:rFonts w:hint="eastAsia"/>
          <w:sz w:val="21"/>
          <w:szCs w:val="21"/>
        </w:rPr>
        <w:t>系统概述</w:t>
      </w:r>
      <w:bookmarkEnd w:id="3615"/>
      <w:bookmarkEnd w:id="3616"/>
      <w:bookmarkEnd w:id="3617"/>
    </w:p>
    <w:p w14:paraId="6A926A06">
      <w:pPr>
        <w:pStyle w:val="5"/>
        <w:rPr>
          <w:color w:val="auto"/>
          <w:szCs w:val="21"/>
        </w:rPr>
      </w:pPr>
      <w:r>
        <w:rPr>
          <w:rFonts w:hint="eastAsia"/>
          <w:color w:val="auto"/>
          <w:szCs w:val="21"/>
          <w:lang w:val="en-US" w:eastAsia="zh-CN"/>
        </w:rPr>
        <w:t>管理云平台</w:t>
      </w:r>
      <w:r>
        <w:rPr>
          <w:rFonts w:hint="eastAsia"/>
          <w:color w:val="auto"/>
          <w:szCs w:val="21"/>
        </w:rPr>
        <w:t>系统采用</w:t>
      </w:r>
      <w:r>
        <w:rPr>
          <w:rFonts w:hint="eastAsia"/>
          <w:color w:val="auto"/>
          <w:szCs w:val="21"/>
          <w:lang w:val="en-US"/>
        </w:rPr>
        <w:t>基于信创</w:t>
      </w:r>
      <w:r>
        <w:rPr>
          <w:rFonts w:hint="eastAsia"/>
          <w:color w:val="auto"/>
          <w:szCs w:val="21"/>
        </w:rPr>
        <w:t>云计算技术构建的企业级信息化基础设施，旨在为企业提供一种弹性的、可扩展的、按需使用的IT资源和服务环境。系统涵盖了计算资源、存储资源、网络资源等多个层面，允许企业在无需大规模投入物理硬件设施的情况下，快速构建和部署各类业务应用，实现业务流程的自动化和数字化。</w:t>
      </w:r>
      <w:r>
        <w:rPr>
          <w:rFonts w:hint="eastAsia"/>
          <w:color w:val="auto"/>
          <w:szCs w:val="21"/>
          <w:lang w:eastAsia="zh-CN"/>
        </w:rPr>
        <w:t>管理云平台</w:t>
      </w:r>
      <w:r>
        <w:rPr>
          <w:rFonts w:hint="eastAsia"/>
          <w:color w:val="auto"/>
          <w:szCs w:val="21"/>
        </w:rPr>
        <w:t>通过虚拟化技术将底层的计算、存储、网络资源抽象化、池化，企业可以根据实际需求动态调配和扩展资源，实现资源利用的最大化和成本效益的优化。</w:t>
      </w:r>
    </w:p>
    <w:p w14:paraId="5B689503">
      <w:pPr>
        <w:pStyle w:val="5"/>
        <w:rPr>
          <w:color w:val="auto"/>
          <w:szCs w:val="21"/>
        </w:rPr>
      </w:pPr>
      <w:r>
        <w:rPr>
          <w:rFonts w:hint="eastAsia"/>
          <w:color w:val="auto"/>
          <w:szCs w:val="21"/>
          <w:lang w:val="en-US" w:eastAsia="zh-CN"/>
        </w:rPr>
        <w:t>管理云平台</w:t>
      </w:r>
      <w:r>
        <w:rPr>
          <w:rFonts w:hint="eastAsia"/>
          <w:color w:val="auto"/>
          <w:szCs w:val="21"/>
        </w:rPr>
        <w:t>系统包含</w:t>
      </w:r>
      <w:r>
        <w:rPr>
          <w:rFonts w:hint="eastAsia"/>
          <w:color w:val="auto"/>
          <w:szCs w:val="21"/>
          <w:lang w:val="en-US" w:eastAsia="zh-CN"/>
        </w:rPr>
        <w:t>虚拟化</w:t>
      </w:r>
      <w:r>
        <w:rPr>
          <w:rFonts w:hint="eastAsia"/>
          <w:color w:val="auto"/>
          <w:szCs w:val="21"/>
          <w:lang w:val="en-US"/>
        </w:rPr>
        <w:t>软件、计算管理节点服务器、存储管理服务器、备份管理服务器、业务</w:t>
      </w:r>
      <w:r>
        <w:rPr>
          <w:rFonts w:hint="eastAsia"/>
          <w:color w:val="auto"/>
          <w:szCs w:val="21"/>
        </w:rPr>
        <w:t>交换机、</w:t>
      </w:r>
      <w:r>
        <w:rPr>
          <w:rFonts w:hint="eastAsia"/>
          <w:color w:val="auto"/>
          <w:szCs w:val="21"/>
          <w:lang w:val="en-US"/>
        </w:rPr>
        <w:t>存储交换机、管理交换机、</w:t>
      </w:r>
      <w:r>
        <w:rPr>
          <w:rFonts w:hint="eastAsia" w:ascii="宋体" w:hAnsi="宋体"/>
          <w:color w:val="auto"/>
          <w:szCs w:val="21"/>
        </w:rPr>
        <w:t>数据库管理软件</w:t>
      </w:r>
      <w:r>
        <w:rPr>
          <w:rFonts w:hint="eastAsia"/>
          <w:color w:val="auto"/>
          <w:szCs w:val="21"/>
        </w:rPr>
        <w:t>、线缆等设备与材料、</w:t>
      </w:r>
      <w:r>
        <w:rPr>
          <w:rFonts w:hint="eastAsia"/>
          <w:color w:val="auto"/>
          <w:szCs w:val="21"/>
          <w:lang w:val="en-US"/>
        </w:rPr>
        <w:t>系统设备</w:t>
      </w:r>
      <w:r>
        <w:rPr>
          <w:rFonts w:hint="eastAsia"/>
          <w:color w:val="auto"/>
          <w:szCs w:val="21"/>
        </w:rPr>
        <w:t>安装及线缆布放。</w:t>
      </w:r>
    </w:p>
    <w:p w14:paraId="78AB9BB7">
      <w:pPr>
        <w:pStyle w:val="4"/>
        <w:rPr>
          <w:sz w:val="21"/>
          <w:szCs w:val="21"/>
        </w:rPr>
      </w:pPr>
      <w:bookmarkStart w:id="3618" w:name="_Toc378165071"/>
      <w:bookmarkStart w:id="3619" w:name="_Toc23742"/>
      <w:bookmarkStart w:id="3620" w:name="_Toc11893"/>
      <w:r>
        <w:rPr>
          <w:sz w:val="21"/>
          <w:szCs w:val="21"/>
        </w:rPr>
        <w:t>系统构成</w:t>
      </w:r>
      <w:bookmarkEnd w:id="3618"/>
      <w:r>
        <w:rPr>
          <w:rFonts w:hint="eastAsia"/>
          <w:sz w:val="21"/>
          <w:szCs w:val="21"/>
        </w:rPr>
        <w:t>及功能</w:t>
      </w:r>
      <w:bookmarkEnd w:id="3619"/>
      <w:bookmarkEnd w:id="3620"/>
    </w:p>
    <w:p w14:paraId="06F49825">
      <w:pPr>
        <w:pStyle w:val="5"/>
        <w:rPr>
          <w:rFonts w:hAnsi="宋体"/>
          <w:bCs w:val="0"/>
          <w:color w:val="auto"/>
          <w:szCs w:val="21"/>
        </w:rPr>
      </w:pPr>
      <w:r>
        <w:rPr>
          <w:rFonts w:hint="eastAsia" w:hAnsi="宋体"/>
          <w:bCs w:val="0"/>
          <w:color w:val="auto"/>
          <w:szCs w:val="21"/>
          <w:lang w:eastAsia="zh-CN"/>
        </w:rPr>
        <w:t>管理云平台</w:t>
      </w:r>
      <w:r>
        <w:rPr>
          <w:rFonts w:hint="eastAsia" w:hAnsi="宋体"/>
          <w:bCs w:val="0"/>
          <w:color w:val="auto"/>
          <w:szCs w:val="21"/>
        </w:rPr>
        <w:t>由逻辑化/池化后的计算、存储、网络、安全等软硬件资源池及封装后的多种IaaS 服务组成，这些资源可直接被云服务用户使用，也可组合支撑更复杂的业务场景， 用户可在IaaS 服务基础上部署和运行包括操作系统和各种应用软件。主要系统构成如下：</w:t>
      </w:r>
    </w:p>
    <w:p w14:paraId="05B974C2">
      <w:pPr>
        <w:widowControl/>
        <w:numPr>
          <w:ilvl w:val="0"/>
          <w:numId w:val="40"/>
        </w:numPr>
        <w:adjustRightInd w:val="0"/>
        <w:snapToGrid w:val="0"/>
        <w:jc w:val="both"/>
        <w:rPr>
          <w:rFonts w:ascii="宋体" w:hAnsi="宋体"/>
          <w:sz w:val="21"/>
          <w:szCs w:val="21"/>
        </w:rPr>
      </w:pPr>
      <w:r>
        <w:rPr>
          <w:rFonts w:hint="eastAsia" w:ascii="宋体" w:hAnsi="宋体"/>
          <w:sz w:val="21"/>
          <w:szCs w:val="21"/>
        </w:rPr>
        <w:t>核心交换区：由业务核心交换机组成；</w:t>
      </w:r>
    </w:p>
    <w:p w14:paraId="13FD72CA">
      <w:pPr>
        <w:widowControl/>
        <w:numPr>
          <w:ilvl w:val="0"/>
          <w:numId w:val="40"/>
        </w:numPr>
        <w:adjustRightInd w:val="0"/>
        <w:snapToGrid w:val="0"/>
        <w:jc w:val="both"/>
        <w:rPr>
          <w:rFonts w:ascii="宋体" w:hAnsi="宋体"/>
          <w:sz w:val="21"/>
          <w:szCs w:val="21"/>
        </w:rPr>
      </w:pPr>
      <w:r>
        <w:rPr>
          <w:rFonts w:hint="eastAsia" w:ascii="宋体" w:hAnsi="宋体"/>
          <w:sz w:val="21"/>
          <w:szCs w:val="21"/>
        </w:rPr>
        <w:t>云计算资源区：由计算服务器集群组成；</w:t>
      </w:r>
    </w:p>
    <w:p w14:paraId="449D680B">
      <w:pPr>
        <w:widowControl/>
        <w:numPr>
          <w:ilvl w:val="0"/>
          <w:numId w:val="40"/>
        </w:numPr>
        <w:adjustRightInd w:val="0"/>
        <w:snapToGrid w:val="0"/>
        <w:jc w:val="both"/>
        <w:rPr>
          <w:rFonts w:ascii="宋体" w:hAnsi="宋体"/>
          <w:sz w:val="21"/>
          <w:szCs w:val="21"/>
        </w:rPr>
      </w:pPr>
      <w:r>
        <w:rPr>
          <w:rFonts w:hint="eastAsia" w:ascii="宋体" w:hAnsi="宋体"/>
          <w:sz w:val="21"/>
          <w:szCs w:val="21"/>
        </w:rPr>
        <w:t>云管理区：由</w:t>
      </w:r>
      <w:r>
        <w:rPr>
          <w:rFonts w:hint="eastAsia" w:ascii="宋体" w:hAnsi="宋体"/>
          <w:sz w:val="21"/>
          <w:szCs w:val="21"/>
          <w:lang w:eastAsia="zh-CN"/>
        </w:rPr>
        <w:t>管理云平台</w:t>
      </w:r>
      <w:r>
        <w:rPr>
          <w:rFonts w:hint="eastAsia" w:ascii="宋体" w:hAnsi="宋体"/>
          <w:sz w:val="21"/>
          <w:szCs w:val="21"/>
        </w:rPr>
        <w:t>管理服务器集群、</w:t>
      </w:r>
      <w:r>
        <w:rPr>
          <w:rFonts w:hint="eastAsia" w:ascii="宋体" w:hAnsi="宋体"/>
          <w:sz w:val="21"/>
          <w:szCs w:val="21"/>
          <w:lang w:eastAsia="zh-CN"/>
        </w:rPr>
        <w:t>管理云平台</w:t>
      </w:r>
      <w:r>
        <w:rPr>
          <w:rFonts w:hint="eastAsia" w:ascii="宋体" w:hAnsi="宋体"/>
          <w:sz w:val="21"/>
          <w:szCs w:val="21"/>
        </w:rPr>
        <w:t>管理交换机、带外管理交换机组成；</w:t>
      </w:r>
    </w:p>
    <w:p w14:paraId="189ADD26">
      <w:pPr>
        <w:widowControl/>
        <w:numPr>
          <w:ilvl w:val="0"/>
          <w:numId w:val="40"/>
        </w:numPr>
        <w:adjustRightInd w:val="0"/>
        <w:snapToGrid w:val="0"/>
        <w:jc w:val="both"/>
        <w:rPr>
          <w:rFonts w:ascii="宋体" w:hAnsi="宋体"/>
          <w:sz w:val="21"/>
          <w:szCs w:val="21"/>
        </w:rPr>
      </w:pPr>
      <w:r>
        <w:rPr>
          <w:rFonts w:hint="eastAsia" w:ascii="宋体" w:hAnsi="宋体"/>
          <w:sz w:val="21"/>
          <w:szCs w:val="21"/>
        </w:rPr>
        <w:t>业务接入区：由业务接入交换机组成；</w:t>
      </w:r>
    </w:p>
    <w:p w14:paraId="65155841">
      <w:pPr>
        <w:widowControl/>
        <w:numPr>
          <w:ilvl w:val="0"/>
          <w:numId w:val="40"/>
        </w:numPr>
        <w:adjustRightInd w:val="0"/>
        <w:snapToGrid w:val="0"/>
        <w:jc w:val="both"/>
        <w:rPr>
          <w:rFonts w:ascii="宋体" w:hAnsi="宋体"/>
          <w:sz w:val="21"/>
          <w:szCs w:val="21"/>
        </w:rPr>
      </w:pPr>
      <w:r>
        <w:rPr>
          <w:rFonts w:hint="eastAsia" w:ascii="宋体" w:hAnsi="宋体"/>
          <w:sz w:val="21"/>
          <w:szCs w:val="21"/>
        </w:rPr>
        <w:t>云存储区：由存储磁阵组成；</w:t>
      </w:r>
    </w:p>
    <w:p w14:paraId="3B784411">
      <w:pPr>
        <w:widowControl/>
        <w:numPr>
          <w:ilvl w:val="0"/>
          <w:numId w:val="40"/>
        </w:numPr>
        <w:adjustRightInd w:val="0"/>
        <w:snapToGrid w:val="0"/>
        <w:jc w:val="both"/>
      </w:pPr>
      <w:r>
        <w:rPr>
          <w:rFonts w:hint="eastAsia" w:ascii="宋体" w:hAnsi="宋体"/>
          <w:sz w:val="21"/>
          <w:szCs w:val="21"/>
        </w:rPr>
        <w:t>业务网络、存储网络、管理网络分别部署，所有网络平台采用双网架构，提高了整体的网络可靠性。</w:t>
      </w:r>
    </w:p>
    <w:p w14:paraId="57C14A0E">
      <w:pPr>
        <w:widowControl/>
        <w:adjustRightInd w:val="0"/>
        <w:snapToGrid w:val="0"/>
        <w:ind w:left="1080" w:firstLine="0"/>
        <w:jc w:val="both"/>
      </w:pPr>
      <w:r>
        <w:rPr>
          <w:rFonts w:hint="eastAsia" w:ascii="宋体" w:hAnsi="宋体"/>
          <w:sz w:val="21"/>
          <w:szCs w:val="21"/>
        </w:rPr>
        <w:t>系统拓扑如下图所示：</w:t>
      </w:r>
    </w:p>
    <w:p w14:paraId="3E5D7BB9">
      <w:pPr>
        <w:widowControl/>
        <w:adjustRightInd w:val="0"/>
        <w:snapToGrid w:val="0"/>
        <w:ind w:left="0" w:firstLine="0"/>
        <w:jc w:val="both"/>
        <w:rPr>
          <w:rFonts w:ascii="宋体" w:hAnsi="宋体"/>
          <w:sz w:val="21"/>
          <w:szCs w:val="21"/>
        </w:rPr>
      </w:pPr>
      <w:r>
        <w:rPr>
          <w:rFonts w:hint="eastAsia" w:ascii="宋体" w:hAnsi="宋体"/>
          <w:sz w:val="21"/>
          <w:szCs w:val="21"/>
        </w:rPr>
        <w:drawing>
          <wp:inline distT="0" distB="0" distL="114300" distR="114300">
            <wp:extent cx="5641340" cy="4784090"/>
            <wp:effectExtent l="0" t="0" r="12700" b="1270"/>
            <wp:docPr id="1" name="图片 1" descr="8c40361360b076e71500941ad05fa5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8c40361360b076e71500941ad05fa5be"/>
                    <pic:cNvPicPr>
                      <a:picLocks noChangeAspect="1"/>
                    </pic:cNvPicPr>
                  </pic:nvPicPr>
                  <pic:blipFill>
                    <a:blip r:embed="rId24"/>
                    <a:stretch>
                      <a:fillRect/>
                    </a:stretch>
                  </pic:blipFill>
                  <pic:spPr>
                    <a:xfrm>
                      <a:off x="0" y="0"/>
                      <a:ext cx="5641340" cy="4784090"/>
                    </a:xfrm>
                    <a:prstGeom prst="rect">
                      <a:avLst/>
                    </a:prstGeom>
                  </pic:spPr>
                </pic:pic>
              </a:graphicData>
            </a:graphic>
          </wp:inline>
        </w:drawing>
      </w:r>
    </w:p>
    <w:p w14:paraId="15C5ABBA">
      <w:pPr>
        <w:widowControl/>
        <w:adjustRightInd w:val="0"/>
        <w:snapToGrid w:val="0"/>
        <w:ind w:left="1080" w:firstLine="0"/>
        <w:jc w:val="both"/>
        <w:rPr>
          <w:rFonts w:ascii="宋体" w:hAnsi="宋体"/>
          <w:sz w:val="21"/>
          <w:szCs w:val="21"/>
        </w:rPr>
      </w:pPr>
    </w:p>
    <w:p w14:paraId="76898174">
      <w:pPr>
        <w:widowControl/>
        <w:adjustRightInd w:val="0"/>
        <w:snapToGrid w:val="0"/>
        <w:ind w:left="1080" w:firstLine="0"/>
        <w:jc w:val="both"/>
        <w:rPr>
          <w:rFonts w:ascii="宋体" w:hAnsi="宋体"/>
          <w:sz w:val="21"/>
          <w:szCs w:val="21"/>
        </w:rPr>
      </w:pPr>
    </w:p>
    <w:p w14:paraId="4DAE1435">
      <w:pPr>
        <w:pStyle w:val="5"/>
        <w:rPr>
          <w:rFonts w:hAnsi="宋体"/>
          <w:bCs w:val="0"/>
          <w:color w:val="auto"/>
          <w:szCs w:val="21"/>
        </w:rPr>
      </w:pPr>
      <w:r>
        <w:rPr>
          <w:rFonts w:hint="eastAsia" w:hAnsi="宋体"/>
          <w:bCs w:val="0"/>
          <w:color w:val="auto"/>
          <w:szCs w:val="21"/>
          <w:lang w:val="en-US"/>
        </w:rPr>
        <w:t>系统功能</w:t>
      </w:r>
    </w:p>
    <w:p w14:paraId="0155A8DD">
      <w:pPr>
        <w:pStyle w:val="1221"/>
        <w:jc w:val="both"/>
        <w:rPr>
          <w:szCs w:val="21"/>
        </w:rPr>
      </w:pPr>
      <w:r>
        <w:rPr>
          <w:rFonts w:hint="eastAsia"/>
          <w:szCs w:val="21"/>
          <w:lang w:val="en-US"/>
        </w:rPr>
        <w:t>计算机虚拟化管理</w:t>
      </w:r>
    </w:p>
    <w:p w14:paraId="21EFBB65">
      <w:pPr>
        <w:rPr>
          <w:rFonts w:ascii="宋体" w:hAnsi="宋体"/>
          <w:sz w:val="21"/>
          <w:szCs w:val="21"/>
        </w:rPr>
      </w:pPr>
      <w:r>
        <w:rPr>
          <w:rFonts w:hint="eastAsia" w:ascii="宋体" w:hAnsi="宋体"/>
          <w:sz w:val="21"/>
          <w:szCs w:val="21"/>
        </w:rPr>
        <w:t>计算虚拟化管理通过调用计算虚拟化层提供的接口，通过计算虚拟化软件实现对计算资源虚拟化的管理，包含如下功能：</w:t>
      </w:r>
    </w:p>
    <w:p w14:paraId="0AABB00F">
      <w:pPr>
        <w:numPr>
          <w:ilvl w:val="0"/>
          <w:numId w:val="41"/>
        </w:numPr>
        <w:rPr>
          <w:rFonts w:ascii="宋体" w:hAnsi="宋体"/>
          <w:sz w:val="21"/>
          <w:szCs w:val="21"/>
        </w:rPr>
      </w:pPr>
      <w:r>
        <w:rPr>
          <w:rFonts w:hint="eastAsia" w:ascii="宋体" w:hAnsi="宋体"/>
          <w:sz w:val="21"/>
          <w:szCs w:val="21"/>
        </w:rPr>
        <w:t>虚拟机资源管理</w:t>
      </w:r>
    </w:p>
    <w:p w14:paraId="0D8698AA">
      <w:pPr>
        <w:ind w:left="709" w:firstLine="420" w:firstLineChars="200"/>
        <w:rPr>
          <w:rFonts w:ascii="宋体" w:hAnsi="宋体"/>
          <w:sz w:val="21"/>
          <w:szCs w:val="21"/>
        </w:rPr>
      </w:pPr>
      <w:r>
        <w:rPr>
          <w:rFonts w:hint="eastAsia" w:ascii="宋体" w:hAnsi="宋体"/>
          <w:sz w:val="21"/>
          <w:szCs w:val="21"/>
        </w:rPr>
        <w:t>虚拟机资源管理主要指虚拟机启动之后，在线对虚拟机的CPU，内存，磁盘及网卡资源进行调整的能力，同时也支持对虚拟机进行查询，克隆，划分域管理。虚拟机资源管理包含如下功能：</w:t>
      </w:r>
    </w:p>
    <w:p w14:paraId="33AAB001">
      <w:pPr>
        <w:widowControl/>
        <w:numPr>
          <w:ilvl w:val="0"/>
          <w:numId w:val="40"/>
        </w:numPr>
        <w:adjustRightInd w:val="0"/>
        <w:snapToGrid w:val="0"/>
        <w:jc w:val="both"/>
        <w:rPr>
          <w:rFonts w:ascii="宋体" w:hAnsi="宋体"/>
          <w:sz w:val="21"/>
          <w:szCs w:val="21"/>
        </w:rPr>
      </w:pPr>
      <w:r>
        <w:rPr>
          <w:rFonts w:ascii="宋体" w:hAnsi="宋体"/>
          <w:sz w:val="21"/>
          <w:szCs w:val="21"/>
        </w:rPr>
        <w:t>虚拟机信息查询：查询虚拟机的基本信息，包括虚拟机运行状态信息、具体规格信息、IP地址信息、所在物理主机信息、安全组信息、所属域信息等。</w:t>
      </w:r>
    </w:p>
    <w:p w14:paraId="603288FB">
      <w:pPr>
        <w:widowControl/>
        <w:numPr>
          <w:ilvl w:val="0"/>
          <w:numId w:val="40"/>
        </w:numPr>
        <w:adjustRightInd w:val="0"/>
        <w:snapToGrid w:val="0"/>
        <w:jc w:val="both"/>
        <w:rPr>
          <w:rFonts w:ascii="宋体" w:hAnsi="宋体"/>
          <w:sz w:val="21"/>
          <w:szCs w:val="21"/>
        </w:rPr>
      </w:pPr>
      <w:r>
        <w:rPr>
          <w:rFonts w:ascii="宋体" w:hAnsi="宋体"/>
          <w:sz w:val="21"/>
          <w:szCs w:val="21"/>
        </w:rPr>
        <w:t>虚拟机QoS：虚拟机CPU、IO、网络带宽等服务质量的灵活控制。</w:t>
      </w:r>
    </w:p>
    <w:p w14:paraId="44F784F5">
      <w:pPr>
        <w:widowControl/>
        <w:numPr>
          <w:ilvl w:val="0"/>
          <w:numId w:val="40"/>
        </w:numPr>
        <w:adjustRightInd w:val="0"/>
        <w:snapToGrid w:val="0"/>
        <w:jc w:val="both"/>
        <w:rPr>
          <w:rFonts w:ascii="宋体" w:hAnsi="宋体"/>
          <w:sz w:val="21"/>
          <w:szCs w:val="21"/>
        </w:rPr>
      </w:pPr>
      <w:r>
        <w:rPr>
          <w:rFonts w:ascii="宋体" w:hAnsi="宋体"/>
          <w:sz w:val="21"/>
          <w:szCs w:val="21"/>
        </w:rPr>
        <w:t>在线调整虚拟机资源：支持在虚拟机运行的情况下调整CPU个数和内存大小，虚拟机下次重启后生效。对于少量支持在线生效的操作系统，可以不用重启实时生效。</w:t>
      </w:r>
    </w:p>
    <w:p w14:paraId="64E34FF4">
      <w:pPr>
        <w:widowControl/>
        <w:numPr>
          <w:ilvl w:val="0"/>
          <w:numId w:val="40"/>
        </w:numPr>
        <w:adjustRightInd w:val="0"/>
        <w:snapToGrid w:val="0"/>
        <w:jc w:val="both"/>
        <w:rPr>
          <w:rFonts w:ascii="宋体" w:hAnsi="宋体"/>
          <w:sz w:val="21"/>
          <w:szCs w:val="21"/>
        </w:rPr>
      </w:pPr>
      <w:r>
        <w:rPr>
          <w:rFonts w:ascii="宋体" w:hAnsi="宋体"/>
          <w:sz w:val="21"/>
          <w:szCs w:val="21"/>
        </w:rPr>
        <w:t>离线调整虚拟机资源：在虚拟机离线状态下修改虚拟机的属性，包括CPU个数、内存大小、磁盘大小。</w:t>
      </w:r>
    </w:p>
    <w:p w14:paraId="766C1FF7">
      <w:pPr>
        <w:widowControl/>
        <w:numPr>
          <w:ilvl w:val="0"/>
          <w:numId w:val="40"/>
        </w:numPr>
        <w:adjustRightInd w:val="0"/>
        <w:snapToGrid w:val="0"/>
        <w:jc w:val="both"/>
        <w:rPr>
          <w:rFonts w:ascii="宋体" w:hAnsi="宋体"/>
          <w:sz w:val="21"/>
          <w:szCs w:val="21"/>
        </w:rPr>
      </w:pPr>
      <w:r>
        <w:rPr>
          <w:rFonts w:ascii="宋体" w:hAnsi="宋体"/>
          <w:sz w:val="21"/>
          <w:szCs w:val="21"/>
        </w:rPr>
        <w:t>节能降耗管理：系统根据集群的负载情况，自动</w:t>
      </w:r>
      <w:r>
        <w:rPr>
          <w:rFonts w:hint="eastAsia" w:ascii="宋体" w:hAnsi="宋体"/>
          <w:sz w:val="21"/>
          <w:szCs w:val="21"/>
        </w:rPr>
        <w:t>进入待机状态</w:t>
      </w:r>
      <w:r>
        <w:rPr>
          <w:rFonts w:ascii="宋体" w:hAnsi="宋体"/>
          <w:sz w:val="21"/>
          <w:szCs w:val="21"/>
        </w:rPr>
        <w:t>，达到节能降耗的目的。</w:t>
      </w:r>
    </w:p>
    <w:p w14:paraId="10518DF4">
      <w:pPr>
        <w:widowControl/>
        <w:numPr>
          <w:ilvl w:val="0"/>
          <w:numId w:val="40"/>
        </w:numPr>
        <w:adjustRightInd w:val="0"/>
        <w:snapToGrid w:val="0"/>
        <w:jc w:val="both"/>
        <w:rPr>
          <w:rFonts w:ascii="宋体" w:hAnsi="宋体"/>
          <w:sz w:val="21"/>
          <w:szCs w:val="21"/>
        </w:rPr>
      </w:pPr>
      <w:r>
        <w:rPr>
          <w:rFonts w:ascii="宋体" w:hAnsi="宋体"/>
          <w:sz w:val="21"/>
          <w:szCs w:val="21"/>
        </w:rPr>
        <w:t>通过ISO部署虚拟机：通过用户给定的ISO安装盘，以及安装过程中的驱动，制作原始镜像并部署虚拟机，虚拟机部署运行成功后，通过快照技术生成标准镜像。</w:t>
      </w:r>
    </w:p>
    <w:p w14:paraId="3FAFDD20">
      <w:pPr>
        <w:widowControl/>
        <w:numPr>
          <w:ilvl w:val="0"/>
          <w:numId w:val="40"/>
        </w:numPr>
        <w:adjustRightInd w:val="0"/>
        <w:snapToGrid w:val="0"/>
        <w:jc w:val="both"/>
        <w:rPr>
          <w:rFonts w:ascii="宋体" w:hAnsi="宋体"/>
          <w:sz w:val="21"/>
          <w:szCs w:val="21"/>
        </w:rPr>
      </w:pPr>
      <w:r>
        <w:rPr>
          <w:rFonts w:ascii="宋体" w:hAnsi="宋体"/>
          <w:sz w:val="21"/>
          <w:szCs w:val="21"/>
        </w:rPr>
        <w:t>CPU/内存资源预留：支持对资源池的CPU/内存资源进行预留，防止该部分资源被抢占，无法用于后续使用。</w:t>
      </w:r>
    </w:p>
    <w:p w14:paraId="4B6F954E">
      <w:pPr>
        <w:numPr>
          <w:ilvl w:val="0"/>
          <w:numId w:val="41"/>
        </w:numPr>
        <w:rPr>
          <w:rFonts w:ascii="宋体" w:hAnsi="宋体"/>
          <w:sz w:val="21"/>
          <w:szCs w:val="21"/>
        </w:rPr>
      </w:pPr>
      <w:r>
        <w:rPr>
          <w:rFonts w:hint="eastAsia" w:ascii="宋体" w:hAnsi="宋体"/>
          <w:sz w:val="21"/>
          <w:szCs w:val="21"/>
        </w:rPr>
        <w:t>虚拟机生命周期管理</w:t>
      </w:r>
    </w:p>
    <w:p w14:paraId="153C2FA7">
      <w:pPr>
        <w:ind w:left="709" w:firstLine="420" w:firstLineChars="200"/>
        <w:rPr>
          <w:rFonts w:ascii="宋体" w:hAnsi="宋体"/>
          <w:sz w:val="21"/>
          <w:szCs w:val="21"/>
        </w:rPr>
      </w:pPr>
      <w:r>
        <w:rPr>
          <w:rFonts w:hint="eastAsia" w:ascii="宋体" w:hAnsi="宋体"/>
          <w:sz w:val="21"/>
          <w:szCs w:val="21"/>
        </w:rPr>
        <w:t>虚拟机生命周期管理是指虚拟机从启动到关闭之间用于日常维护及管理工作的功能。虚拟机生命周期管理包含如下基本功能：</w:t>
      </w:r>
    </w:p>
    <w:p w14:paraId="5E51D685">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虚拟机生命周期管理：支持虚拟机基本的生命周期管理动作，包括创建、删除、启动、关闭、重启等。</w:t>
      </w:r>
    </w:p>
    <w:p w14:paraId="7C462F69">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虚拟机热迁移：将使用同一共享存储的主机之间处于运行态的虚拟机由当前所在的主机迁移到另一台主机上，在迁移的过程中不影响用户对虚拟机的使用。</w:t>
      </w:r>
    </w:p>
    <w:p w14:paraId="70E4971F">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虚拟机冷迁移：在关机的状态下，把虚拟机从一个计算节点迁移到另一个计算节点。</w:t>
      </w:r>
    </w:p>
    <w:p w14:paraId="68A4149D">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虚拟机的绑定关系：虚拟机通过划分到不同物理服务器上，在部署的时候与不同的物理服务器做关系绑定。</w:t>
      </w:r>
    </w:p>
    <w:p w14:paraId="2B805ED6">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虚拟机间集中/分散部署：集中部署就是将虚拟机尽量部署在最少数量的主机上；分散部署就是尽量将虚拟机平均部署在资源池内的所有主机上。</w:t>
      </w:r>
    </w:p>
    <w:p w14:paraId="61421ADC">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虚拟机独占计算资源：部署独占整个Host或者NUMA节点的虚拟机。</w:t>
      </w:r>
    </w:p>
    <w:p w14:paraId="18EDFF0C">
      <w:pPr>
        <w:widowControl/>
        <w:numPr>
          <w:ilvl w:val="0"/>
          <w:numId w:val="40"/>
        </w:numPr>
        <w:adjustRightInd w:val="0"/>
        <w:snapToGrid w:val="0"/>
        <w:jc w:val="both"/>
        <w:rPr>
          <w:rFonts w:ascii="宋体" w:hAnsi="宋体"/>
          <w:sz w:val="21"/>
          <w:szCs w:val="21"/>
        </w:rPr>
      </w:pPr>
      <w:r>
        <w:rPr>
          <w:rFonts w:hint="eastAsia" w:ascii="宋体" w:hAnsi="宋体"/>
          <w:sz w:val="21"/>
          <w:szCs w:val="21"/>
        </w:rPr>
        <w:t>创建虚拟机时CPU模式可配置：支持创建虚拟机时，可选择vCPU型号，可满足客户的特殊需求也可最大程度避免虚拟机受硬件属性的影响。</w:t>
      </w:r>
    </w:p>
    <w:p w14:paraId="5E98C2F4">
      <w:pPr>
        <w:widowControl/>
        <w:numPr>
          <w:ilvl w:val="0"/>
          <w:numId w:val="40"/>
        </w:numPr>
        <w:adjustRightInd w:val="0"/>
        <w:snapToGrid w:val="0"/>
        <w:jc w:val="both"/>
        <w:rPr>
          <w:rFonts w:ascii="宋体" w:hAnsi="宋体"/>
          <w:sz w:val="21"/>
          <w:szCs w:val="21"/>
        </w:rPr>
      </w:pPr>
      <w:r>
        <w:rPr>
          <w:rFonts w:hint="eastAsia" w:ascii="宋体" w:hAnsi="宋体"/>
          <w:sz w:val="21"/>
          <w:szCs w:val="21"/>
        </w:rPr>
        <w:t>PCI物理设备透传功能：支持将PCI物理设备（例如GPU子卡）直接透传给虚拟机使用。</w:t>
      </w:r>
    </w:p>
    <w:p w14:paraId="654CE7DF">
      <w:pPr>
        <w:pStyle w:val="1221"/>
        <w:jc w:val="both"/>
        <w:rPr>
          <w:szCs w:val="21"/>
        </w:rPr>
      </w:pPr>
      <w:r>
        <w:rPr>
          <w:rFonts w:hint="eastAsia"/>
          <w:szCs w:val="21"/>
          <w:lang w:val="en-US"/>
        </w:rPr>
        <w:t>网络虚拟化管理</w:t>
      </w:r>
    </w:p>
    <w:p w14:paraId="6AA036D8">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虚拟机带宽配置及调度：配置虚拟机的带宽，保证虚拟机能达到用户指定的带宽要求。</w:t>
      </w:r>
    </w:p>
    <w:p w14:paraId="5D0269F7">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虚拟机IP地址管理：在创建虚拟机时为虚拟机自动分配IP地址，并在</w:t>
      </w:r>
      <w:r>
        <w:rPr>
          <w:rFonts w:hint="eastAsia" w:ascii="宋体" w:hAnsi="宋体"/>
          <w:sz w:val="21"/>
          <w:szCs w:val="21"/>
          <w:lang w:eastAsia="zh-CN"/>
        </w:rPr>
        <w:t>虚拟化系统</w:t>
      </w:r>
      <w:r>
        <w:rPr>
          <w:rFonts w:hint="eastAsia" w:ascii="宋体" w:hAnsi="宋体"/>
          <w:sz w:val="21"/>
          <w:szCs w:val="21"/>
        </w:rPr>
        <w:t>内部提供DHCP服务，虚拟机可以通过DHCP用户端自动获取IP地址。</w:t>
      </w:r>
    </w:p>
    <w:p w14:paraId="7C021995">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虚拟机DNS自动配置：在创建子网时指定该子网内所有主机的DNS域名服务器，在虚拟机启动之后，可以直接通过DHCP将DNS域名服务器配置到虚拟机上。</w:t>
      </w:r>
    </w:p>
    <w:p w14:paraId="7A214252">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虚拟机静态路由自动配置：在创建子网时指定该子网内所有主机的静态路由，在虚拟机启动之后，可以直接通过DHCP将静态路由条目配置到虚拟机上。</w:t>
      </w:r>
    </w:p>
    <w:p w14:paraId="45090377">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虚拟机支持虚拟网卡的动态创建：持给已经部署运行的VM动态新增网卡，满足VM对网络连接的需求。</w:t>
      </w:r>
    </w:p>
    <w:p w14:paraId="48BC5E39">
      <w:pPr>
        <w:widowControl/>
        <w:numPr>
          <w:ilvl w:val="0"/>
          <w:numId w:val="40"/>
        </w:numPr>
        <w:adjustRightInd w:val="0"/>
        <w:snapToGrid w:val="0"/>
        <w:jc w:val="both"/>
        <w:rPr>
          <w:rFonts w:ascii="宋体" w:hAnsi="宋体"/>
          <w:sz w:val="21"/>
          <w:szCs w:val="21"/>
        </w:rPr>
      </w:pPr>
      <w:r>
        <w:rPr>
          <w:rFonts w:hint="eastAsia" w:ascii="宋体" w:hAnsi="宋体"/>
          <w:sz w:val="21"/>
          <w:szCs w:val="21"/>
        </w:rPr>
        <w:t>虚拟网络生命周期管理:系统支持基本的虚拟路由器、虚拟网络，虚拟子网及虚拟端口的生命周期管理操作，包括创建、删除、更新、列表、查询等。</w:t>
      </w:r>
    </w:p>
    <w:p w14:paraId="17F950FD">
      <w:pPr>
        <w:pStyle w:val="1221"/>
        <w:jc w:val="both"/>
        <w:rPr>
          <w:szCs w:val="21"/>
        </w:rPr>
      </w:pPr>
      <w:r>
        <w:rPr>
          <w:rFonts w:hint="eastAsia"/>
          <w:szCs w:val="21"/>
          <w:lang w:val="en-US"/>
        </w:rPr>
        <w:t>存储虚拟化管理</w:t>
      </w:r>
    </w:p>
    <w:p w14:paraId="2F8A1B53">
      <w:pPr>
        <w:widowControl/>
        <w:adjustRightInd w:val="0"/>
        <w:snapToGrid w:val="0"/>
        <w:ind w:left="1080" w:firstLine="420" w:firstLineChars="200"/>
        <w:jc w:val="both"/>
        <w:rPr>
          <w:rFonts w:ascii="宋体" w:hAnsi="宋体"/>
          <w:sz w:val="21"/>
          <w:szCs w:val="21"/>
        </w:rPr>
      </w:pPr>
      <w:r>
        <w:rPr>
          <w:rFonts w:hint="eastAsia" w:ascii="宋体" w:hAnsi="宋体"/>
          <w:sz w:val="21"/>
          <w:szCs w:val="21"/>
        </w:rPr>
        <w:t>存储虚拟化管理，为虚拟机提供云硬盘，并能够对云硬盘进行快照，扩容限速等处理。主要功能如下：</w:t>
      </w:r>
    </w:p>
    <w:p w14:paraId="34A0B80F">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云硬盘生命周期管理：支持对虚拟机磁盘（卷）的基本生命周期管理操作，包括创建卷、删除卷、挂载卷和卸载卷等。</w:t>
      </w:r>
    </w:p>
    <w:p w14:paraId="09F620C0">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云硬盘快照：支持对云硬盘（卷）做快照备份和通过快照创建一个新卷的方式恢复数据。</w:t>
      </w:r>
    </w:p>
    <w:p w14:paraId="6916A8B7">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云硬盘容量调整：对已经存在云硬盘（卷）进行扩容或者缩容。</w:t>
      </w:r>
    </w:p>
    <w:p w14:paraId="42D484F3">
      <w:pPr>
        <w:widowControl/>
        <w:numPr>
          <w:ilvl w:val="0"/>
          <w:numId w:val="40"/>
        </w:numPr>
        <w:adjustRightInd w:val="0"/>
        <w:snapToGrid w:val="0"/>
        <w:jc w:val="both"/>
        <w:rPr>
          <w:rFonts w:ascii="宋体" w:hAnsi="宋体"/>
          <w:sz w:val="21"/>
          <w:szCs w:val="21"/>
        </w:rPr>
      </w:pPr>
      <w:r>
        <w:rPr>
          <w:rFonts w:hint="eastAsia" w:ascii="宋体" w:hAnsi="宋体"/>
          <w:sz w:val="21"/>
          <w:szCs w:val="21"/>
        </w:rPr>
        <w:t>存储多后端：支持一个（或多个）存储节点连接多个存储后端。</w:t>
      </w:r>
    </w:p>
    <w:p w14:paraId="0869BB09">
      <w:pPr>
        <w:widowControl/>
        <w:numPr>
          <w:ilvl w:val="0"/>
          <w:numId w:val="40"/>
        </w:numPr>
        <w:adjustRightInd w:val="0"/>
        <w:snapToGrid w:val="0"/>
        <w:jc w:val="both"/>
        <w:rPr>
          <w:rFonts w:ascii="宋体" w:hAnsi="宋体"/>
          <w:sz w:val="21"/>
          <w:szCs w:val="21"/>
        </w:rPr>
      </w:pPr>
      <w:r>
        <w:rPr>
          <w:rFonts w:hint="eastAsia" w:ascii="宋体" w:hAnsi="宋体"/>
          <w:sz w:val="21"/>
          <w:szCs w:val="21"/>
        </w:rPr>
        <w:t>卷类型管理：支持卷类型的创建、删除和设置卷类型对应的特性等管理操作。</w:t>
      </w:r>
    </w:p>
    <w:p w14:paraId="0B6EF1BB">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云硬盘限速：允许对云硬盘设定一定的IO上限，云主机对云硬盘的任何IO操作都无法超过设置的上限值。</w:t>
      </w:r>
    </w:p>
    <w:p w14:paraId="2F8DA862">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云硬盘迁移：支持云硬盘从一个存储后端迁移到另外一个存储后端。</w:t>
      </w:r>
    </w:p>
    <w:p w14:paraId="78831F4C">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云硬盘配额：支持设置/修改某个租户（或项目）使用的云硬盘数目和云硬盘总空间。</w:t>
      </w:r>
    </w:p>
    <w:p w14:paraId="466135C7">
      <w:pPr>
        <w:widowControl/>
        <w:numPr>
          <w:ilvl w:val="0"/>
          <w:numId w:val="40"/>
        </w:numPr>
        <w:adjustRightInd w:val="0"/>
        <w:snapToGrid w:val="0"/>
        <w:jc w:val="both"/>
        <w:rPr>
          <w:rFonts w:ascii="宋体" w:hAnsi="宋体"/>
          <w:sz w:val="21"/>
          <w:szCs w:val="21"/>
        </w:rPr>
      </w:pPr>
      <w:r>
        <w:rPr>
          <w:rFonts w:hint="eastAsia" w:ascii="宋体" w:hAnsi="宋体"/>
          <w:sz w:val="21"/>
          <w:szCs w:val="21"/>
        </w:rPr>
        <w:t>双机共存储：支持两台虚拟机共用同一个云硬盘。</w:t>
      </w:r>
    </w:p>
    <w:p w14:paraId="682559DA">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云硬盘克隆：从一个已有云盘克隆出一个新云盘的功能，新云盘上的数据与已有云盘一致。</w:t>
      </w:r>
    </w:p>
    <w:p w14:paraId="5E07C349">
      <w:pPr>
        <w:widowControl/>
        <w:numPr>
          <w:ilvl w:val="0"/>
          <w:numId w:val="40"/>
        </w:numPr>
        <w:adjustRightInd w:val="0"/>
        <w:snapToGrid w:val="0"/>
        <w:jc w:val="both"/>
        <w:rPr>
          <w:rFonts w:ascii="宋体" w:hAnsi="宋体"/>
          <w:sz w:val="21"/>
          <w:szCs w:val="21"/>
        </w:rPr>
      </w:pPr>
      <w:r>
        <w:rPr>
          <w:rFonts w:hint="eastAsia" w:ascii="宋体" w:hAnsi="宋体"/>
          <w:sz w:val="21"/>
          <w:szCs w:val="21"/>
        </w:rPr>
        <w:t>裸磁盘映射虚拟机：虚拟机直接访问物理存储子系统（IPSAN或FCSAN）上的LUN的能力。</w:t>
      </w:r>
    </w:p>
    <w:p w14:paraId="174D0DC0">
      <w:pPr>
        <w:widowControl/>
        <w:numPr>
          <w:ilvl w:val="0"/>
          <w:numId w:val="40"/>
        </w:numPr>
        <w:adjustRightInd w:val="0"/>
        <w:snapToGrid w:val="0"/>
        <w:jc w:val="both"/>
        <w:rPr>
          <w:rFonts w:ascii="宋体" w:hAnsi="宋体"/>
          <w:sz w:val="21"/>
          <w:szCs w:val="21"/>
        </w:rPr>
      </w:pPr>
      <w:r>
        <w:rPr>
          <w:rFonts w:hint="eastAsia" w:ascii="宋体" w:hAnsi="宋体"/>
          <w:sz w:val="21"/>
          <w:szCs w:val="21"/>
        </w:rPr>
        <w:t>存储瘦供给控制或自动精简：创建虚拟机时，不会分配所有需要的云存储空间，而是根据虚拟机的具体需要自动缩减虚拟机的云盘容量，最大不超过为虚拟机所申请的云盘空间。</w:t>
      </w:r>
    </w:p>
    <w:p w14:paraId="434A6298">
      <w:pPr>
        <w:widowControl/>
        <w:numPr>
          <w:ilvl w:val="0"/>
          <w:numId w:val="40"/>
        </w:numPr>
        <w:adjustRightInd w:val="0"/>
        <w:snapToGrid w:val="0"/>
        <w:jc w:val="both"/>
        <w:rPr>
          <w:rFonts w:ascii="宋体" w:hAnsi="宋体"/>
          <w:sz w:val="21"/>
          <w:szCs w:val="21"/>
        </w:rPr>
      </w:pPr>
      <w:r>
        <w:rPr>
          <w:rFonts w:hint="eastAsia" w:ascii="宋体" w:hAnsi="宋体"/>
          <w:sz w:val="21"/>
          <w:szCs w:val="21"/>
        </w:rPr>
        <w:t>存储资源预留：支持对资源池的存储资源进行预留，防止该部分资源被抢占，无法用于后续使用。</w:t>
      </w:r>
    </w:p>
    <w:p w14:paraId="48001C5B">
      <w:pPr>
        <w:widowControl/>
        <w:numPr>
          <w:ilvl w:val="0"/>
          <w:numId w:val="40"/>
        </w:numPr>
        <w:adjustRightInd w:val="0"/>
        <w:snapToGrid w:val="0"/>
        <w:jc w:val="both"/>
        <w:rPr>
          <w:rFonts w:ascii="宋体" w:hAnsi="宋体"/>
          <w:sz w:val="21"/>
          <w:szCs w:val="21"/>
        </w:rPr>
      </w:pPr>
      <w:r>
        <w:rPr>
          <w:rFonts w:hint="eastAsia" w:ascii="宋体" w:hAnsi="宋体"/>
          <w:sz w:val="21"/>
          <w:szCs w:val="21"/>
        </w:rPr>
        <w:t>云硬盘QoS：支持对云硬盘带宽进行QoS设置，控制与限制云硬盘对外提供服务的带宽速率。</w:t>
      </w:r>
    </w:p>
    <w:p w14:paraId="1425FCE5">
      <w:pPr>
        <w:widowControl/>
        <w:numPr>
          <w:ilvl w:val="0"/>
          <w:numId w:val="40"/>
        </w:numPr>
        <w:adjustRightInd w:val="0"/>
        <w:snapToGrid w:val="0"/>
        <w:jc w:val="both"/>
        <w:rPr>
          <w:rFonts w:ascii="宋体" w:hAnsi="宋体"/>
          <w:sz w:val="21"/>
          <w:szCs w:val="21"/>
        </w:rPr>
      </w:pPr>
      <w:r>
        <w:rPr>
          <w:rFonts w:hint="eastAsia" w:ascii="宋体" w:hAnsi="宋体"/>
          <w:sz w:val="21"/>
          <w:szCs w:val="21"/>
        </w:rPr>
        <w:t>已使用的卷类型保护：已使用的卷类型无法删除，并且禁止操作这些卷类型的（包括新增、修改、删除）属性。</w:t>
      </w:r>
    </w:p>
    <w:p w14:paraId="108AE956">
      <w:pPr>
        <w:pStyle w:val="1221"/>
        <w:jc w:val="both"/>
        <w:rPr>
          <w:szCs w:val="21"/>
        </w:rPr>
      </w:pPr>
      <w:r>
        <w:rPr>
          <w:rFonts w:hint="eastAsia"/>
          <w:szCs w:val="21"/>
          <w:lang w:val="en-US"/>
        </w:rPr>
        <w:t>备份管理</w:t>
      </w:r>
    </w:p>
    <w:p w14:paraId="24AB364D">
      <w:pPr>
        <w:pStyle w:val="1221"/>
        <w:numPr>
          <w:ilvl w:val="3"/>
          <w:numId w:val="0"/>
        </w:numPr>
        <w:ind w:left="340" w:firstLine="420" w:firstLineChars="200"/>
        <w:jc w:val="both"/>
        <w:outlineLvl w:val="9"/>
        <w:rPr>
          <w:szCs w:val="21"/>
        </w:rPr>
      </w:pPr>
      <w:r>
        <w:rPr>
          <w:rFonts w:hint="eastAsia"/>
          <w:szCs w:val="21"/>
        </w:rPr>
        <w:t>在中心针对各个重要业务系统进行备份操作，备份系统应采用成熟、稳定、易扩展的方案构建，对于核心业务系统应做到每周一次全量备份，每天一次增量备份，备份系统容量应满足各个业务系统的要求。通过备份系统的建设，将实现业务数据的高可用性以及数据资产的安全性。</w:t>
      </w:r>
    </w:p>
    <w:p w14:paraId="17281E4B">
      <w:pPr>
        <w:pStyle w:val="1221"/>
        <w:jc w:val="both"/>
        <w:rPr>
          <w:szCs w:val="21"/>
        </w:rPr>
      </w:pPr>
      <w:r>
        <w:rPr>
          <w:rFonts w:hint="eastAsia"/>
          <w:szCs w:val="21"/>
          <w:lang w:val="en-US"/>
        </w:rPr>
        <w:t>用户管理</w:t>
      </w:r>
    </w:p>
    <w:p w14:paraId="31606074">
      <w:pPr>
        <w:widowControl/>
        <w:numPr>
          <w:ilvl w:val="0"/>
          <w:numId w:val="40"/>
        </w:numPr>
        <w:adjustRightInd w:val="0"/>
        <w:snapToGrid w:val="0"/>
        <w:jc w:val="both"/>
        <w:rPr>
          <w:rFonts w:ascii="宋体" w:hAnsi="宋体"/>
          <w:sz w:val="21"/>
          <w:szCs w:val="21"/>
        </w:rPr>
      </w:pPr>
      <w:r>
        <w:rPr>
          <w:rFonts w:hint="eastAsia" w:ascii="宋体" w:hAnsi="宋体"/>
          <w:sz w:val="21"/>
          <w:szCs w:val="21"/>
        </w:rPr>
        <w:t>用户管理：提供系统中用户的管理，包括增加、删除、修改和查询等功能。</w:t>
      </w:r>
    </w:p>
    <w:p w14:paraId="5B1D8F6D">
      <w:pPr>
        <w:widowControl/>
        <w:numPr>
          <w:ilvl w:val="0"/>
          <w:numId w:val="40"/>
        </w:numPr>
        <w:adjustRightInd w:val="0"/>
        <w:snapToGrid w:val="0"/>
        <w:jc w:val="both"/>
        <w:rPr>
          <w:rFonts w:ascii="宋体" w:hAnsi="宋体"/>
          <w:sz w:val="21"/>
          <w:szCs w:val="21"/>
        </w:rPr>
      </w:pPr>
      <w:r>
        <w:rPr>
          <w:rFonts w:hint="eastAsia" w:ascii="宋体" w:hAnsi="宋体"/>
          <w:sz w:val="21"/>
          <w:szCs w:val="21"/>
        </w:rPr>
        <w:t>角色管理：提供系统中用户角色的管理，包括增加、删除、修改和查询等功能。</w:t>
      </w:r>
    </w:p>
    <w:p w14:paraId="4AE76A42">
      <w:pPr>
        <w:widowControl/>
        <w:numPr>
          <w:ilvl w:val="0"/>
          <w:numId w:val="40"/>
        </w:numPr>
        <w:adjustRightInd w:val="0"/>
        <w:snapToGrid w:val="0"/>
        <w:jc w:val="both"/>
        <w:rPr>
          <w:rFonts w:ascii="宋体" w:hAnsi="宋体"/>
          <w:sz w:val="21"/>
          <w:szCs w:val="21"/>
        </w:rPr>
      </w:pPr>
      <w:r>
        <w:rPr>
          <w:rFonts w:hint="eastAsia" w:ascii="宋体" w:hAnsi="宋体"/>
          <w:sz w:val="21"/>
          <w:szCs w:val="21"/>
        </w:rPr>
        <w:t>身份认证：提供对用户身份的认证，并为用户分配有效的令牌。</w:t>
      </w:r>
    </w:p>
    <w:p w14:paraId="2E8AD2A4">
      <w:pPr>
        <w:widowControl/>
        <w:numPr>
          <w:ilvl w:val="0"/>
          <w:numId w:val="40"/>
        </w:numPr>
        <w:adjustRightInd w:val="0"/>
        <w:snapToGrid w:val="0"/>
        <w:jc w:val="both"/>
        <w:rPr>
          <w:rFonts w:ascii="宋体" w:hAnsi="宋体"/>
          <w:sz w:val="21"/>
          <w:szCs w:val="21"/>
        </w:rPr>
      </w:pPr>
      <w:r>
        <w:rPr>
          <w:rFonts w:hint="eastAsia" w:ascii="宋体" w:hAnsi="宋体"/>
          <w:sz w:val="21"/>
          <w:szCs w:val="21"/>
        </w:rPr>
        <w:t>用户组管理：用户组是一组用户的容器，把相同权限的用户放在一起统一管理。</w:t>
      </w:r>
    </w:p>
    <w:p w14:paraId="1AECEC12">
      <w:pPr>
        <w:pStyle w:val="1221"/>
        <w:jc w:val="both"/>
        <w:rPr>
          <w:szCs w:val="21"/>
        </w:rPr>
      </w:pPr>
      <w:r>
        <w:rPr>
          <w:rFonts w:hint="eastAsia"/>
          <w:szCs w:val="21"/>
          <w:lang w:val="en-US"/>
        </w:rPr>
        <w:t>安全管理</w:t>
      </w:r>
    </w:p>
    <w:p w14:paraId="10CD75E4">
      <w:pPr>
        <w:pStyle w:val="1221"/>
        <w:numPr>
          <w:ilvl w:val="3"/>
          <w:numId w:val="0"/>
        </w:numPr>
        <w:ind w:left="340" w:firstLine="420" w:firstLineChars="200"/>
        <w:jc w:val="both"/>
        <w:outlineLvl w:val="9"/>
        <w:rPr>
          <w:szCs w:val="21"/>
        </w:rPr>
      </w:pPr>
      <w:r>
        <w:rPr>
          <w:rFonts w:hint="eastAsia"/>
          <w:szCs w:val="21"/>
        </w:rPr>
        <w:t>基础设施/设备虚拟虚拟化之后，与传统网络在隔离与共享、静态与动态、封闭与开放等方面的差异，导致了网元的运行环境、网络部署和管理等技术与模式的改变。资源虚拟化之后，针对虚拟机，虚拟网络，云数据等需要提供新的安全手段。主要安全功能：</w:t>
      </w:r>
    </w:p>
    <w:p w14:paraId="7D25E1D6">
      <w:pPr>
        <w:widowControl/>
        <w:numPr>
          <w:ilvl w:val="0"/>
          <w:numId w:val="40"/>
        </w:numPr>
        <w:adjustRightInd w:val="0"/>
        <w:snapToGrid w:val="0"/>
        <w:jc w:val="both"/>
        <w:rPr>
          <w:rFonts w:ascii="宋体" w:hAnsi="宋体"/>
          <w:sz w:val="21"/>
          <w:szCs w:val="21"/>
        </w:rPr>
      </w:pPr>
      <w:r>
        <w:rPr>
          <w:rFonts w:hint="eastAsia" w:ascii="宋体" w:hAnsi="宋体"/>
          <w:sz w:val="21"/>
          <w:szCs w:val="21"/>
        </w:rPr>
        <w:t>管理面默认支持HTTPS：支持HTTPS双向认证，遵循TLSv1.2版本协议。</w:t>
      </w:r>
    </w:p>
    <w:p w14:paraId="296397E2">
      <w:pPr>
        <w:widowControl/>
        <w:numPr>
          <w:ilvl w:val="0"/>
          <w:numId w:val="40"/>
        </w:numPr>
        <w:adjustRightInd w:val="0"/>
        <w:snapToGrid w:val="0"/>
        <w:jc w:val="both"/>
        <w:rPr>
          <w:rFonts w:ascii="宋体" w:hAnsi="宋体"/>
          <w:sz w:val="21"/>
          <w:szCs w:val="21"/>
        </w:rPr>
      </w:pPr>
      <w:r>
        <w:rPr>
          <w:rFonts w:hint="eastAsia" w:ascii="宋体" w:hAnsi="宋体"/>
          <w:sz w:val="21"/>
          <w:szCs w:val="21"/>
        </w:rPr>
        <w:t>数据库安全：通过数据库安全加固，保证系统数据安全，以防数据库服务器被攻击或异常破坏。</w:t>
      </w:r>
    </w:p>
    <w:p w14:paraId="535604F8">
      <w:pPr>
        <w:widowControl/>
        <w:numPr>
          <w:ilvl w:val="0"/>
          <w:numId w:val="40"/>
        </w:numPr>
        <w:adjustRightInd w:val="0"/>
        <w:snapToGrid w:val="0"/>
        <w:jc w:val="both"/>
        <w:rPr>
          <w:rFonts w:ascii="宋体" w:hAnsi="宋体"/>
          <w:sz w:val="21"/>
          <w:szCs w:val="21"/>
        </w:rPr>
      </w:pPr>
      <w:r>
        <w:rPr>
          <w:rFonts w:hint="eastAsia" w:ascii="宋体" w:hAnsi="宋体"/>
          <w:sz w:val="21"/>
          <w:szCs w:val="21"/>
        </w:rPr>
        <w:t>网络安全：通过虚拟机安全组功能，虚拟机IP/MAC过滤，防止虚拟机收到网络攻击。</w:t>
      </w:r>
    </w:p>
    <w:p w14:paraId="1F8A4C65">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虚拟机安全：支持虚拟机内存隔离/清除，虚拟机安全镜像，虚拟机selinux 等能力。</w:t>
      </w:r>
    </w:p>
    <w:p w14:paraId="6937724D">
      <w:pPr>
        <w:widowControl/>
        <w:numPr>
          <w:ilvl w:val="0"/>
          <w:numId w:val="40"/>
        </w:numPr>
        <w:adjustRightInd w:val="0"/>
        <w:snapToGrid w:val="0"/>
        <w:jc w:val="both"/>
        <w:rPr>
          <w:rFonts w:ascii="宋体" w:hAnsi="宋体"/>
          <w:sz w:val="21"/>
          <w:szCs w:val="21"/>
        </w:rPr>
      </w:pPr>
      <w:r>
        <w:rPr>
          <w:rFonts w:hint="eastAsia" w:ascii="宋体" w:hAnsi="宋体"/>
          <w:sz w:val="21"/>
          <w:szCs w:val="21"/>
        </w:rPr>
        <w:t>存储安全：支持存储加密及云硬盘解除是内容擦除。</w:t>
      </w:r>
    </w:p>
    <w:p w14:paraId="58EEFA37">
      <w:pPr>
        <w:pStyle w:val="1221"/>
        <w:jc w:val="both"/>
        <w:rPr>
          <w:szCs w:val="21"/>
        </w:rPr>
      </w:pPr>
      <w:r>
        <w:rPr>
          <w:rFonts w:hint="eastAsia"/>
          <w:szCs w:val="21"/>
          <w:lang w:val="en-US"/>
        </w:rPr>
        <w:t>运维管理</w:t>
      </w:r>
    </w:p>
    <w:p w14:paraId="3F8635A3">
      <w:pPr>
        <w:pStyle w:val="1221"/>
        <w:numPr>
          <w:ilvl w:val="3"/>
          <w:numId w:val="0"/>
        </w:numPr>
        <w:ind w:left="340" w:firstLine="420" w:firstLineChars="200"/>
        <w:jc w:val="both"/>
        <w:outlineLvl w:val="9"/>
        <w:rPr>
          <w:szCs w:val="21"/>
        </w:rPr>
      </w:pPr>
      <w:r>
        <w:rPr>
          <w:rFonts w:hint="eastAsia"/>
          <w:szCs w:val="21"/>
        </w:rPr>
        <w:t>为了提高</w:t>
      </w:r>
      <w:r>
        <w:rPr>
          <w:rFonts w:hint="eastAsia"/>
          <w:szCs w:val="21"/>
          <w:lang w:eastAsia="zh-CN"/>
        </w:rPr>
        <w:t>管理云平台</w:t>
      </w:r>
      <w:r>
        <w:rPr>
          <w:rFonts w:hint="eastAsia"/>
          <w:szCs w:val="21"/>
        </w:rPr>
        <w:t>系统的可靠性、可维护性，需提供包括硬件管理，管理门户，告警，性能处理及可靠性功能的相关运维功能。包含如下：</w:t>
      </w:r>
    </w:p>
    <w:p w14:paraId="2C1AE05A">
      <w:pPr>
        <w:widowControl/>
        <w:numPr>
          <w:ilvl w:val="0"/>
          <w:numId w:val="40"/>
        </w:numPr>
        <w:adjustRightInd w:val="0"/>
        <w:snapToGrid w:val="0"/>
        <w:jc w:val="both"/>
        <w:rPr>
          <w:rFonts w:ascii="宋体" w:hAnsi="宋体"/>
          <w:sz w:val="21"/>
          <w:szCs w:val="21"/>
        </w:rPr>
      </w:pPr>
      <w:r>
        <w:rPr>
          <w:rFonts w:hint="eastAsia" w:ascii="宋体" w:hAnsi="宋体"/>
          <w:sz w:val="21"/>
          <w:szCs w:val="21"/>
        </w:rPr>
        <w:t>告警功能：支持云系统的告警信息，通知信息上报；支持通过SNMP接口将告警信息同步到外接告警系统。</w:t>
      </w:r>
    </w:p>
    <w:p w14:paraId="782378E3">
      <w:pPr>
        <w:widowControl/>
        <w:numPr>
          <w:ilvl w:val="0"/>
          <w:numId w:val="40"/>
        </w:numPr>
        <w:adjustRightInd w:val="0"/>
        <w:snapToGrid w:val="0"/>
        <w:jc w:val="both"/>
        <w:rPr>
          <w:rFonts w:ascii="宋体" w:hAnsi="宋体"/>
          <w:sz w:val="21"/>
          <w:szCs w:val="21"/>
        </w:rPr>
      </w:pPr>
      <w:r>
        <w:rPr>
          <w:rFonts w:hint="eastAsia" w:ascii="宋体" w:hAnsi="宋体"/>
          <w:sz w:val="21"/>
          <w:szCs w:val="21"/>
        </w:rPr>
        <w:t>性能统计：支持物理设备和虚拟设备的性能统计，并支持对性能统计数据的自动清理工作。</w:t>
      </w:r>
    </w:p>
    <w:p w14:paraId="6C5007F3">
      <w:pPr>
        <w:widowControl/>
        <w:numPr>
          <w:ilvl w:val="0"/>
          <w:numId w:val="40"/>
        </w:numPr>
        <w:adjustRightInd w:val="0"/>
        <w:snapToGrid w:val="0"/>
        <w:jc w:val="both"/>
        <w:rPr>
          <w:rFonts w:ascii="宋体" w:hAnsi="宋体"/>
          <w:sz w:val="21"/>
          <w:szCs w:val="21"/>
        </w:rPr>
      </w:pPr>
      <w:r>
        <w:rPr>
          <w:rFonts w:hint="eastAsia" w:ascii="宋体" w:hAnsi="宋体"/>
          <w:sz w:val="21"/>
          <w:szCs w:val="21"/>
        </w:rPr>
        <w:t>硬件管理：支持物理机，网络设备，存储设备等硬件的故障告警；支持硬件性能监测。</w:t>
      </w:r>
    </w:p>
    <w:p w14:paraId="34D8B540">
      <w:pPr>
        <w:widowControl/>
        <w:numPr>
          <w:ilvl w:val="0"/>
          <w:numId w:val="40"/>
        </w:numPr>
        <w:adjustRightInd w:val="0"/>
        <w:snapToGrid w:val="0"/>
        <w:jc w:val="both"/>
        <w:rPr>
          <w:rFonts w:ascii="宋体" w:hAnsi="宋体"/>
          <w:sz w:val="21"/>
          <w:szCs w:val="21"/>
        </w:rPr>
      </w:pPr>
      <w:r>
        <w:rPr>
          <w:rFonts w:hint="eastAsia" w:ascii="宋体" w:hAnsi="宋体"/>
          <w:sz w:val="21"/>
          <w:szCs w:val="21"/>
        </w:rPr>
        <w:t>安装部署与升级：支持导航式的操作系统的安装。支持计算节点即插即用和缩容，支持故障恢复能力，支持大规模集群部署。</w:t>
      </w:r>
    </w:p>
    <w:p w14:paraId="33F8CE63">
      <w:pPr>
        <w:widowControl/>
        <w:numPr>
          <w:ilvl w:val="0"/>
          <w:numId w:val="40"/>
        </w:numPr>
        <w:adjustRightInd w:val="0"/>
        <w:snapToGrid w:val="0"/>
        <w:jc w:val="both"/>
        <w:rPr>
          <w:rFonts w:ascii="宋体" w:hAnsi="宋体"/>
          <w:sz w:val="21"/>
          <w:szCs w:val="21"/>
        </w:rPr>
      </w:pPr>
      <w:r>
        <w:rPr>
          <w:rFonts w:hint="eastAsia" w:ascii="宋体" w:hAnsi="宋体"/>
          <w:sz w:val="21"/>
          <w:szCs w:val="21"/>
        </w:rPr>
        <w:t>云环境管理：支持云环境的监控，告警与性能统计。</w:t>
      </w:r>
    </w:p>
    <w:p w14:paraId="54C3EF09">
      <w:pPr>
        <w:widowControl/>
        <w:numPr>
          <w:ilvl w:val="0"/>
          <w:numId w:val="40"/>
        </w:numPr>
        <w:adjustRightInd w:val="0"/>
        <w:snapToGrid w:val="0"/>
        <w:jc w:val="both"/>
        <w:rPr>
          <w:rFonts w:ascii="宋体" w:hAnsi="宋体"/>
          <w:sz w:val="21"/>
          <w:szCs w:val="21"/>
        </w:rPr>
      </w:pPr>
      <w:r>
        <w:rPr>
          <w:rFonts w:hint="eastAsia" w:ascii="宋体" w:hAnsi="宋体"/>
          <w:sz w:val="21"/>
          <w:szCs w:val="21"/>
        </w:rPr>
        <w:t>虚拟机管理：对虚拟机类型，云硬盘资源，网络资源，镜像资源进行管理，支持对裸金属类型的虚拟机进行管理。</w:t>
      </w:r>
    </w:p>
    <w:p w14:paraId="756ED811">
      <w:pPr>
        <w:widowControl/>
        <w:numPr>
          <w:ilvl w:val="0"/>
          <w:numId w:val="40"/>
        </w:numPr>
        <w:adjustRightInd w:val="0"/>
        <w:snapToGrid w:val="0"/>
        <w:jc w:val="both"/>
        <w:rPr>
          <w:rFonts w:ascii="宋体" w:hAnsi="宋体"/>
          <w:sz w:val="21"/>
          <w:szCs w:val="21"/>
        </w:rPr>
      </w:pPr>
      <w:r>
        <w:rPr>
          <w:rFonts w:hint="eastAsia" w:ascii="宋体" w:hAnsi="宋体"/>
          <w:sz w:val="21"/>
          <w:szCs w:val="21"/>
        </w:rPr>
        <w:t>系统管理：支持整个云系统的基础配置管理，包含日志配置，告警配置，基本参数配置及SNMP配置。</w:t>
      </w:r>
    </w:p>
    <w:p w14:paraId="5B324333">
      <w:pPr>
        <w:widowControl/>
        <w:numPr>
          <w:ilvl w:val="0"/>
          <w:numId w:val="40"/>
        </w:numPr>
        <w:adjustRightInd w:val="0"/>
        <w:snapToGrid w:val="0"/>
        <w:jc w:val="both"/>
        <w:rPr>
          <w:rFonts w:ascii="宋体" w:hAnsi="宋体"/>
          <w:sz w:val="21"/>
          <w:szCs w:val="21"/>
        </w:rPr>
      </w:pPr>
      <w:r>
        <w:rPr>
          <w:rFonts w:hint="eastAsia" w:ascii="宋体" w:hAnsi="宋体"/>
          <w:sz w:val="21"/>
          <w:szCs w:val="21"/>
        </w:rPr>
        <w:t>系统安全：支持云系统的用户管理，及用户日志管理。</w:t>
      </w:r>
    </w:p>
    <w:p w14:paraId="39609130">
      <w:pPr>
        <w:pStyle w:val="4"/>
        <w:rPr>
          <w:sz w:val="21"/>
          <w:szCs w:val="21"/>
        </w:rPr>
      </w:pPr>
      <w:bookmarkStart w:id="3621" w:name="_Toc26378"/>
      <w:bookmarkStart w:id="3622" w:name="_Toc15838"/>
      <w:r>
        <w:rPr>
          <w:rFonts w:hint="eastAsia"/>
          <w:sz w:val="21"/>
          <w:szCs w:val="21"/>
          <w:lang w:val="en-US"/>
        </w:rPr>
        <w:t>主要技术要求及指标</w:t>
      </w:r>
      <w:bookmarkEnd w:id="3621"/>
      <w:bookmarkEnd w:id="3622"/>
    </w:p>
    <w:p w14:paraId="1C57CE91">
      <w:pPr>
        <w:pStyle w:val="5"/>
        <w:numPr>
          <w:ilvl w:val="2"/>
          <w:numId w:val="42"/>
        </w:numPr>
        <w:rPr>
          <w:color w:val="auto"/>
          <w:szCs w:val="21"/>
        </w:rPr>
      </w:pPr>
      <w:r>
        <w:rPr>
          <w:rFonts w:hint="eastAsia"/>
          <w:color w:val="auto"/>
          <w:szCs w:val="21"/>
        </w:rPr>
        <w:t>总体要求</w:t>
      </w:r>
    </w:p>
    <w:p w14:paraId="792514EA">
      <w:pPr>
        <w:pStyle w:val="1221"/>
        <w:numPr>
          <w:ilvl w:val="3"/>
          <w:numId w:val="42"/>
        </w:numPr>
        <w:jc w:val="both"/>
        <w:rPr>
          <w:szCs w:val="21"/>
        </w:rPr>
      </w:pPr>
      <w:r>
        <w:rPr>
          <w:rFonts w:hint="eastAsia"/>
          <w:szCs w:val="21"/>
        </w:rPr>
        <w:t>在满足系统功能要求的前提下，投标人所提供的设备均应为</w:t>
      </w:r>
      <w:r>
        <w:rPr>
          <w:rFonts w:hint="eastAsia"/>
          <w:szCs w:val="21"/>
          <w:lang w:val="en-US"/>
        </w:rPr>
        <w:t>行业</w:t>
      </w:r>
      <w:r>
        <w:rPr>
          <w:rFonts w:hint="eastAsia"/>
          <w:szCs w:val="21"/>
        </w:rPr>
        <w:t>主流配置。</w:t>
      </w:r>
    </w:p>
    <w:p w14:paraId="66ECB48A">
      <w:pPr>
        <w:pStyle w:val="1221"/>
        <w:numPr>
          <w:ilvl w:val="3"/>
          <w:numId w:val="42"/>
        </w:numPr>
        <w:jc w:val="both"/>
        <w:rPr>
          <w:szCs w:val="21"/>
        </w:rPr>
      </w:pPr>
      <w:r>
        <w:rPr>
          <w:rFonts w:hint="eastAsia"/>
          <w:szCs w:val="21"/>
        </w:rPr>
        <w:t>投标人所提供的</w:t>
      </w:r>
      <w:r>
        <w:rPr>
          <w:rFonts w:hint="eastAsia"/>
          <w:szCs w:val="21"/>
          <w:lang w:val="en-US"/>
        </w:rPr>
        <w:t>服务器</w:t>
      </w:r>
      <w:r>
        <w:rPr>
          <w:rFonts w:hint="eastAsia"/>
          <w:szCs w:val="21"/>
        </w:rPr>
        <w:t>均应</w:t>
      </w:r>
      <w:r>
        <w:rPr>
          <w:rFonts w:hint="eastAsia"/>
          <w:szCs w:val="21"/>
          <w:lang w:val="en-US"/>
        </w:rPr>
        <w:t>支持</w:t>
      </w:r>
      <w:r>
        <w:rPr>
          <w:rFonts w:hint="eastAsia" w:ascii="宋体" w:hAnsi="宋体"/>
          <w:szCs w:val="21"/>
        </w:rPr>
        <w:t>标准19英寸导轨安装</w:t>
      </w:r>
      <w:r>
        <w:rPr>
          <w:rFonts w:hint="eastAsia"/>
          <w:szCs w:val="21"/>
          <w:lang w:val="en-US"/>
        </w:rPr>
        <w:t>，投标人提供安装导轨及相关辅材，费用包含在总价中。</w:t>
      </w:r>
      <w:r>
        <w:rPr>
          <w:rFonts w:hint="eastAsia" w:ascii="宋体" w:hAnsi="宋体"/>
          <w:szCs w:val="21"/>
        </w:rPr>
        <w:t>19英寸</w:t>
      </w:r>
      <w:r>
        <w:rPr>
          <w:rFonts w:hint="eastAsia" w:ascii="宋体" w:hAnsi="宋体"/>
          <w:szCs w:val="21"/>
          <w:lang w:val="en-US"/>
        </w:rPr>
        <w:t>标准机柜由招标人提供。</w:t>
      </w:r>
    </w:p>
    <w:p w14:paraId="1C8824A4">
      <w:pPr>
        <w:pStyle w:val="1221"/>
        <w:numPr>
          <w:ilvl w:val="3"/>
          <w:numId w:val="39"/>
        </w:numPr>
        <w:jc w:val="both"/>
        <w:rPr>
          <w:rFonts w:ascii="宋体" w:hAnsi="宋体"/>
          <w:bCs w:val="0"/>
          <w:szCs w:val="21"/>
        </w:rPr>
      </w:pPr>
      <w:r>
        <w:rPr>
          <w:rFonts w:hint="eastAsia"/>
          <w:szCs w:val="21"/>
        </w:rPr>
        <w:t>本项目</w:t>
      </w:r>
      <w:r>
        <w:rPr>
          <w:rFonts w:hint="eastAsia"/>
          <w:szCs w:val="21"/>
          <w:lang w:val="en-US"/>
        </w:rPr>
        <w:t>服务器、</w:t>
      </w:r>
      <w:r>
        <w:rPr>
          <w:rFonts w:hint="eastAsia"/>
          <w:szCs w:val="21"/>
          <w:lang w:val="en-US" w:eastAsia="zh-CN"/>
        </w:rPr>
        <w:t>管理云平台</w:t>
      </w:r>
      <w:r>
        <w:rPr>
          <w:rFonts w:hint="eastAsia"/>
          <w:szCs w:val="21"/>
          <w:lang w:val="en-US"/>
        </w:rPr>
        <w:t>软件等产品</w:t>
      </w:r>
      <w:r>
        <w:rPr>
          <w:rFonts w:hint="eastAsia"/>
          <w:szCs w:val="21"/>
        </w:rPr>
        <w:t>须采用至少有3个国内信创</w:t>
      </w:r>
      <w:r>
        <w:rPr>
          <w:rFonts w:hint="eastAsia"/>
          <w:szCs w:val="21"/>
          <w:lang w:eastAsia="zh-CN"/>
        </w:rPr>
        <w:t>管理云平台</w:t>
      </w:r>
      <w:r>
        <w:rPr>
          <w:rFonts w:hint="eastAsia"/>
          <w:szCs w:val="21"/>
        </w:rPr>
        <w:t>成功应用案例的品牌（从201</w:t>
      </w:r>
      <w:r>
        <w:rPr>
          <w:rFonts w:hint="eastAsia"/>
          <w:szCs w:val="21"/>
          <w:lang w:val="en-US"/>
        </w:rPr>
        <w:t>9</w:t>
      </w:r>
      <w:r>
        <w:rPr>
          <w:rFonts w:hint="eastAsia"/>
          <w:szCs w:val="21"/>
        </w:rPr>
        <w:t>年1月算起）。以下技术指标均为最低要求，投标人须结合功能及自身产品性能向上配置。投标人在满足招标要求的前提下，可根据自身系统特点，提出优化方案</w:t>
      </w:r>
      <w:r>
        <w:rPr>
          <w:rFonts w:ascii="宋体" w:hAnsi="宋体"/>
          <w:szCs w:val="21"/>
        </w:rPr>
        <w:t>。</w:t>
      </w:r>
    </w:p>
    <w:p w14:paraId="19222BDC">
      <w:pPr>
        <w:pStyle w:val="1221"/>
        <w:numPr>
          <w:ilvl w:val="3"/>
          <w:numId w:val="42"/>
        </w:numPr>
        <w:jc w:val="both"/>
        <w:rPr>
          <w:rFonts w:hAnsi="宋体"/>
          <w:bCs w:val="0"/>
          <w:szCs w:val="21"/>
        </w:rPr>
      </w:pPr>
      <w:r>
        <w:rPr>
          <w:rFonts w:hint="eastAsia" w:hAnsi="宋体"/>
          <w:bCs w:val="0"/>
          <w:szCs w:val="21"/>
        </w:rPr>
        <w:t>存储设备（</w:t>
      </w:r>
      <w:r>
        <w:rPr>
          <w:rFonts w:hint="eastAsia" w:hAnsi="宋体"/>
          <w:bCs w:val="0"/>
          <w:szCs w:val="21"/>
          <w:lang w:val="en-US"/>
        </w:rPr>
        <w:t>存储管理服务器/备份管理服务器）存储</w:t>
      </w:r>
      <w:r>
        <w:rPr>
          <w:rFonts w:hint="eastAsia" w:hAnsi="宋体"/>
          <w:bCs w:val="0"/>
          <w:szCs w:val="21"/>
        </w:rPr>
        <w:t>容量配置原则</w:t>
      </w:r>
    </w:p>
    <w:p w14:paraId="5F78CE08">
      <w:pPr>
        <w:widowControl/>
        <w:numPr>
          <w:ilvl w:val="0"/>
          <w:numId w:val="40"/>
        </w:numPr>
        <w:adjustRightInd w:val="0"/>
        <w:snapToGrid w:val="0"/>
        <w:jc w:val="both"/>
        <w:rPr>
          <w:rFonts w:ascii="宋体" w:hAnsi="宋体"/>
          <w:sz w:val="21"/>
          <w:szCs w:val="21"/>
        </w:rPr>
      </w:pPr>
      <w:r>
        <w:rPr>
          <w:rFonts w:hint="eastAsia" w:ascii="宋体" w:hAnsi="宋体"/>
          <w:sz w:val="21"/>
          <w:szCs w:val="21"/>
        </w:rPr>
        <w:t>系统盘：系统盘采用冗余保护机制，应单独计算容量；</w:t>
      </w:r>
    </w:p>
    <w:p w14:paraId="1143DD76">
      <w:pPr>
        <w:widowControl/>
        <w:numPr>
          <w:ilvl w:val="0"/>
          <w:numId w:val="40"/>
        </w:numPr>
        <w:adjustRightInd w:val="0"/>
        <w:snapToGrid w:val="0"/>
        <w:jc w:val="both"/>
        <w:rPr>
          <w:rFonts w:ascii="宋体" w:hAnsi="宋体"/>
          <w:sz w:val="21"/>
          <w:szCs w:val="21"/>
        </w:rPr>
      </w:pPr>
      <w:r>
        <w:rPr>
          <w:rFonts w:hint="eastAsia" w:ascii="宋体" w:hAnsi="宋体"/>
          <w:sz w:val="21"/>
          <w:szCs w:val="21"/>
        </w:rPr>
        <w:t>全局热备盘：数量≥2块；</w:t>
      </w:r>
    </w:p>
    <w:p w14:paraId="6F2BC2BA">
      <w:pPr>
        <w:widowControl/>
        <w:numPr>
          <w:ilvl w:val="0"/>
          <w:numId w:val="40"/>
        </w:numPr>
        <w:adjustRightInd w:val="0"/>
        <w:snapToGrid w:val="0"/>
        <w:jc w:val="both"/>
        <w:rPr>
          <w:rFonts w:ascii="宋体" w:hAnsi="宋体"/>
          <w:sz w:val="21"/>
          <w:szCs w:val="21"/>
        </w:rPr>
      </w:pPr>
      <w:r>
        <w:rPr>
          <w:rFonts w:hint="eastAsia" w:ascii="宋体" w:hAnsi="宋体"/>
          <w:sz w:val="21"/>
          <w:szCs w:val="21"/>
        </w:rPr>
        <w:t>数据盘：采用RAID 6保护，每个RAID组内磁盘数量≤12块；或采用池化方式保护；</w:t>
      </w:r>
    </w:p>
    <w:p w14:paraId="08A27A66">
      <w:pPr>
        <w:pStyle w:val="1221"/>
        <w:numPr>
          <w:ilvl w:val="3"/>
          <w:numId w:val="0"/>
        </w:numPr>
        <w:ind w:left="340" w:firstLine="420" w:firstLineChars="200"/>
        <w:jc w:val="both"/>
        <w:outlineLvl w:val="9"/>
        <w:rPr>
          <w:rFonts w:hAnsi="宋体"/>
          <w:bCs w:val="0"/>
          <w:szCs w:val="21"/>
        </w:rPr>
      </w:pPr>
      <w:r>
        <w:rPr>
          <w:rFonts w:hint="eastAsia" w:ascii="宋体" w:hAnsi="宋体"/>
          <w:szCs w:val="21"/>
          <w:lang w:val="en-US"/>
        </w:rPr>
        <w:t>投标人应随投标文件提供详细的存储设备容量计算书（计算时不得将硬盘格式化损失容量，系统盘、全局热备盘及RAID组内的数据保护盘容量计列为有效容量）。</w:t>
      </w:r>
    </w:p>
    <w:p w14:paraId="54052E08">
      <w:pPr>
        <w:pStyle w:val="5"/>
        <w:rPr>
          <w:rFonts w:hAnsi="宋体"/>
          <w:bCs w:val="0"/>
          <w:color w:val="auto"/>
          <w:szCs w:val="21"/>
        </w:rPr>
      </w:pPr>
      <w:r>
        <w:rPr>
          <w:rFonts w:hint="eastAsia" w:hAnsi="宋体"/>
          <w:bCs w:val="0"/>
          <w:color w:val="auto"/>
          <w:szCs w:val="21"/>
          <w:lang w:val="en-US"/>
        </w:rPr>
        <w:t>计算/管理节点服务器</w:t>
      </w:r>
    </w:p>
    <w:tbl>
      <w:tblPr>
        <w:tblStyle w:val="87"/>
        <w:tblpPr w:leftFromText="180" w:rightFromText="180" w:vertAnchor="text" w:horzAnchor="page" w:tblpX="1855" w:tblpY="122"/>
        <w:tblOverlap w:val="never"/>
        <w:tblW w:w="83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2"/>
        <w:gridCol w:w="6611"/>
      </w:tblGrid>
      <w:tr w14:paraId="24D9B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49ED0B6A">
            <w:pPr>
              <w:pStyle w:val="1306"/>
              <w:ind w:left="0" w:firstLine="0"/>
              <w:rPr>
                <w:rFonts w:ascii="宋体" w:hAnsi="宋体"/>
                <w:sz w:val="21"/>
                <w:szCs w:val="21"/>
              </w:rPr>
            </w:pPr>
            <w:r>
              <w:rPr>
                <w:rFonts w:hint="eastAsia" w:ascii="宋体" w:hAnsi="宋体"/>
                <w:sz w:val="21"/>
                <w:szCs w:val="21"/>
              </w:rPr>
              <w:t>指标项</w:t>
            </w:r>
          </w:p>
        </w:tc>
        <w:tc>
          <w:tcPr>
            <w:tcW w:w="6611" w:type="dxa"/>
            <w:tcBorders>
              <w:top w:val="single" w:color="auto" w:sz="4" w:space="0"/>
              <w:left w:val="single" w:color="auto" w:sz="4" w:space="0"/>
              <w:bottom w:val="single" w:color="auto" w:sz="4" w:space="0"/>
              <w:right w:val="single" w:color="auto" w:sz="4" w:space="0"/>
            </w:tcBorders>
            <w:vAlign w:val="center"/>
          </w:tcPr>
          <w:p w14:paraId="4374BC82">
            <w:pPr>
              <w:pStyle w:val="1306"/>
              <w:ind w:left="0" w:firstLine="0"/>
              <w:jc w:val="both"/>
              <w:rPr>
                <w:rFonts w:ascii="宋体" w:hAnsi="宋体"/>
                <w:sz w:val="21"/>
                <w:szCs w:val="21"/>
              </w:rPr>
            </w:pPr>
            <w:r>
              <w:rPr>
                <w:rFonts w:hint="eastAsia" w:ascii="宋体" w:hAnsi="宋体"/>
                <w:kern w:val="0"/>
                <w:sz w:val="22"/>
                <w:szCs w:val="22"/>
              </w:rPr>
              <w:t>技术规格要求</w:t>
            </w:r>
          </w:p>
        </w:tc>
      </w:tr>
      <w:tr w14:paraId="19738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24C388D4">
            <w:pPr>
              <w:pStyle w:val="1306"/>
              <w:ind w:left="0" w:firstLine="0"/>
              <w:rPr>
                <w:rFonts w:ascii="宋体" w:hAnsi="宋体"/>
                <w:i/>
                <w:iCs/>
                <w:sz w:val="21"/>
                <w:szCs w:val="21"/>
              </w:rPr>
            </w:pPr>
            <w:r>
              <w:rPr>
                <w:rFonts w:hint="eastAsia" w:ascii="宋体" w:hAnsi="宋体"/>
                <w:sz w:val="21"/>
                <w:szCs w:val="21"/>
              </w:rPr>
              <w:t>处理器</w:t>
            </w:r>
          </w:p>
        </w:tc>
        <w:tc>
          <w:tcPr>
            <w:tcW w:w="6611" w:type="dxa"/>
            <w:tcBorders>
              <w:top w:val="single" w:color="auto" w:sz="4" w:space="0"/>
              <w:left w:val="single" w:color="auto" w:sz="4" w:space="0"/>
              <w:bottom w:val="single" w:color="auto" w:sz="4" w:space="0"/>
              <w:right w:val="single" w:color="auto" w:sz="4" w:space="0"/>
            </w:tcBorders>
            <w:vAlign w:val="center"/>
          </w:tcPr>
          <w:p w14:paraId="4177D0FC">
            <w:pPr>
              <w:pStyle w:val="1306"/>
              <w:ind w:left="0" w:firstLine="0"/>
              <w:jc w:val="left"/>
              <w:rPr>
                <w:rFonts w:ascii="宋体" w:hAnsi="宋体"/>
                <w:i/>
                <w:iCs/>
                <w:sz w:val="21"/>
                <w:szCs w:val="21"/>
              </w:rPr>
            </w:pPr>
            <w:r>
              <w:rPr>
                <w:rFonts w:hint="eastAsia" w:ascii="宋体" w:hAnsi="宋体"/>
                <w:spacing w:val="-6"/>
                <w:sz w:val="21"/>
                <w:szCs w:val="21"/>
              </w:rPr>
              <w:t>配置2颗CPU处理器，可配置国产ARM或C86架构（单颗处理器ARM架构主频:≥2</w:t>
            </w:r>
            <w:r>
              <w:rPr>
                <w:rFonts w:ascii="宋体" w:hAnsi="宋体"/>
                <w:spacing w:val="-6"/>
                <w:sz w:val="21"/>
                <w:szCs w:val="21"/>
              </w:rPr>
              <w:t>.2</w:t>
            </w:r>
            <w:r>
              <w:rPr>
                <w:rFonts w:hint="eastAsia" w:ascii="宋体" w:hAnsi="宋体"/>
                <w:spacing w:val="-6"/>
                <w:sz w:val="21"/>
                <w:szCs w:val="21"/>
              </w:rPr>
              <w:t>GHz，核数≥64核；单颗处理器C86架构主频≥2</w:t>
            </w:r>
            <w:r>
              <w:rPr>
                <w:rFonts w:ascii="宋体" w:hAnsi="宋体"/>
                <w:spacing w:val="-6"/>
                <w:sz w:val="21"/>
                <w:szCs w:val="21"/>
              </w:rPr>
              <w:t>.2</w:t>
            </w:r>
            <w:r>
              <w:rPr>
                <w:rFonts w:hint="eastAsia" w:ascii="宋体" w:hAnsi="宋体"/>
                <w:spacing w:val="-6"/>
                <w:sz w:val="21"/>
                <w:szCs w:val="21"/>
              </w:rPr>
              <w:t>GHz，核数≥32核）。</w:t>
            </w:r>
          </w:p>
        </w:tc>
      </w:tr>
      <w:tr w14:paraId="27A7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vMerge w:val="restart"/>
            <w:tcBorders>
              <w:top w:val="single" w:color="auto" w:sz="4" w:space="0"/>
              <w:left w:val="single" w:color="auto" w:sz="4" w:space="0"/>
              <w:bottom w:val="single" w:color="auto" w:sz="4" w:space="0"/>
              <w:right w:val="single" w:color="auto" w:sz="4" w:space="0"/>
            </w:tcBorders>
            <w:vAlign w:val="center"/>
          </w:tcPr>
          <w:p w14:paraId="49CBB615">
            <w:pPr>
              <w:pStyle w:val="1306"/>
              <w:ind w:left="0" w:firstLine="0"/>
              <w:rPr>
                <w:rFonts w:ascii="宋体" w:hAnsi="宋体"/>
                <w:i/>
                <w:iCs/>
                <w:sz w:val="21"/>
                <w:szCs w:val="21"/>
              </w:rPr>
            </w:pPr>
            <w:r>
              <w:rPr>
                <w:rFonts w:hint="eastAsia" w:ascii="宋体" w:hAnsi="宋体"/>
                <w:sz w:val="21"/>
                <w:szCs w:val="21"/>
              </w:rPr>
              <w:t>内存</w:t>
            </w:r>
          </w:p>
        </w:tc>
        <w:tc>
          <w:tcPr>
            <w:tcW w:w="6611" w:type="dxa"/>
            <w:tcBorders>
              <w:top w:val="single" w:color="auto" w:sz="4" w:space="0"/>
              <w:left w:val="single" w:color="auto" w:sz="4" w:space="0"/>
              <w:bottom w:val="single" w:color="auto" w:sz="4" w:space="0"/>
              <w:right w:val="single" w:color="auto" w:sz="4" w:space="0"/>
            </w:tcBorders>
          </w:tcPr>
          <w:p w14:paraId="373F2405">
            <w:pPr>
              <w:pStyle w:val="1306"/>
              <w:ind w:left="0" w:firstLine="0"/>
              <w:jc w:val="left"/>
              <w:rPr>
                <w:rFonts w:ascii="宋体" w:hAnsi="宋体"/>
                <w:i/>
                <w:iCs/>
                <w:sz w:val="21"/>
                <w:szCs w:val="21"/>
              </w:rPr>
            </w:pPr>
            <w:r>
              <w:rPr>
                <w:rFonts w:hint="eastAsia" w:ascii="宋体" w:hAnsi="宋体"/>
                <w:sz w:val="21"/>
                <w:szCs w:val="21"/>
              </w:rPr>
              <w:t>配置内存插槽≥32个。</w:t>
            </w:r>
          </w:p>
        </w:tc>
      </w:tr>
      <w:tr w14:paraId="7208B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vMerge w:val="continue"/>
            <w:tcBorders>
              <w:top w:val="single" w:color="auto" w:sz="4" w:space="0"/>
              <w:left w:val="single" w:color="auto" w:sz="4" w:space="0"/>
              <w:bottom w:val="single" w:color="auto" w:sz="4" w:space="0"/>
              <w:right w:val="single" w:color="auto" w:sz="4" w:space="0"/>
            </w:tcBorders>
            <w:vAlign w:val="center"/>
          </w:tcPr>
          <w:p w14:paraId="6B7B0B2B">
            <w:pPr>
              <w:pStyle w:val="1306"/>
              <w:rPr>
                <w:rFonts w:ascii="宋体" w:hAnsi="宋体"/>
                <w:sz w:val="21"/>
                <w:szCs w:val="21"/>
              </w:rPr>
            </w:pPr>
          </w:p>
        </w:tc>
        <w:tc>
          <w:tcPr>
            <w:tcW w:w="6611" w:type="dxa"/>
            <w:tcBorders>
              <w:top w:val="single" w:color="auto" w:sz="4" w:space="0"/>
              <w:left w:val="single" w:color="auto" w:sz="4" w:space="0"/>
              <w:bottom w:val="single" w:color="auto" w:sz="4" w:space="0"/>
              <w:right w:val="single" w:color="auto" w:sz="4" w:space="0"/>
            </w:tcBorders>
          </w:tcPr>
          <w:p w14:paraId="5CD34431">
            <w:pPr>
              <w:pStyle w:val="1306"/>
              <w:ind w:left="0" w:firstLine="0"/>
              <w:jc w:val="left"/>
              <w:rPr>
                <w:rFonts w:ascii="宋体" w:hAnsi="宋体"/>
                <w:sz w:val="21"/>
                <w:szCs w:val="21"/>
              </w:rPr>
            </w:pPr>
            <w:r>
              <w:rPr>
                <w:rFonts w:hint="eastAsia" w:ascii="宋体" w:hAnsi="宋体"/>
                <w:sz w:val="21"/>
                <w:szCs w:val="21"/>
              </w:rPr>
              <w:t>内存配置容量：≥</w:t>
            </w:r>
            <w:r>
              <w:rPr>
                <w:rFonts w:ascii="宋体" w:hAnsi="宋体"/>
                <w:sz w:val="21"/>
                <w:szCs w:val="21"/>
              </w:rPr>
              <w:t>256G</w:t>
            </w:r>
            <w:r>
              <w:rPr>
                <w:rFonts w:hint="eastAsia" w:ascii="宋体" w:hAnsi="宋体"/>
                <w:sz w:val="21"/>
                <w:szCs w:val="21"/>
              </w:rPr>
              <w:t>B 3200MHz</w:t>
            </w:r>
            <w:r>
              <w:rPr>
                <w:rFonts w:ascii="宋体" w:hAnsi="宋体"/>
                <w:sz w:val="21"/>
                <w:szCs w:val="21"/>
              </w:rPr>
              <w:t>及以上</w:t>
            </w:r>
            <w:r>
              <w:rPr>
                <w:rFonts w:hint="eastAsia" w:ascii="宋体" w:hAnsi="宋体"/>
                <w:sz w:val="21"/>
                <w:szCs w:val="21"/>
              </w:rPr>
              <w:t>DDR4内存；支持内存纠错等高级功能。</w:t>
            </w:r>
          </w:p>
        </w:tc>
      </w:tr>
      <w:tr w14:paraId="19DBE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92" w:type="dxa"/>
            <w:vMerge w:val="restart"/>
            <w:tcBorders>
              <w:top w:val="single" w:color="auto" w:sz="4" w:space="0"/>
              <w:left w:val="single" w:color="auto" w:sz="4" w:space="0"/>
              <w:bottom w:val="single" w:color="auto" w:sz="4" w:space="0"/>
              <w:right w:val="single" w:color="auto" w:sz="4" w:space="0"/>
            </w:tcBorders>
            <w:vAlign w:val="center"/>
          </w:tcPr>
          <w:p w14:paraId="1B9FB47A">
            <w:pPr>
              <w:pStyle w:val="1306"/>
              <w:ind w:left="0" w:firstLine="0"/>
              <w:rPr>
                <w:rFonts w:ascii="宋体" w:hAnsi="宋体"/>
                <w:sz w:val="21"/>
                <w:szCs w:val="21"/>
              </w:rPr>
            </w:pPr>
            <w:r>
              <w:rPr>
                <w:rFonts w:hint="eastAsia" w:ascii="宋体" w:hAnsi="宋体"/>
                <w:sz w:val="21"/>
                <w:szCs w:val="21"/>
              </w:rPr>
              <w:t>存储</w:t>
            </w:r>
          </w:p>
        </w:tc>
        <w:tc>
          <w:tcPr>
            <w:tcW w:w="6611" w:type="dxa"/>
            <w:tcBorders>
              <w:top w:val="single" w:color="auto" w:sz="4" w:space="0"/>
              <w:left w:val="single" w:color="auto" w:sz="4" w:space="0"/>
              <w:bottom w:val="single" w:color="auto" w:sz="4" w:space="0"/>
              <w:right w:val="single" w:color="auto" w:sz="4" w:space="0"/>
            </w:tcBorders>
          </w:tcPr>
          <w:p w14:paraId="70F914C9">
            <w:pPr>
              <w:pStyle w:val="1306"/>
              <w:ind w:left="0" w:firstLine="0"/>
              <w:jc w:val="left"/>
              <w:rPr>
                <w:rFonts w:ascii="宋体" w:hAnsi="宋体"/>
                <w:sz w:val="21"/>
                <w:szCs w:val="21"/>
              </w:rPr>
            </w:pPr>
            <w:r>
              <w:rPr>
                <w:rFonts w:hint="eastAsia" w:ascii="宋体" w:hAnsi="宋体"/>
                <w:sz w:val="21"/>
                <w:szCs w:val="21"/>
              </w:rPr>
              <w:t xml:space="preserve">硬盘配置容量数目：≥2块480GB </w:t>
            </w:r>
            <w:r>
              <w:rPr>
                <w:rFonts w:hint="eastAsia" w:ascii="宋体" w:hAnsi="宋体"/>
                <w:spacing w:val="-6"/>
                <w:sz w:val="21"/>
                <w:szCs w:val="21"/>
              </w:rPr>
              <w:t>SSD硬盘（根据自身</w:t>
            </w:r>
            <w:r>
              <w:rPr>
                <w:rFonts w:hint="eastAsia" w:ascii="宋体" w:hAnsi="宋体"/>
                <w:spacing w:val="-6"/>
                <w:sz w:val="21"/>
                <w:szCs w:val="21"/>
                <w:lang w:eastAsia="zh-CN"/>
              </w:rPr>
              <w:t>管理云平台</w:t>
            </w:r>
            <w:r>
              <w:rPr>
                <w:rFonts w:hint="eastAsia" w:ascii="宋体" w:hAnsi="宋体"/>
                <w:spacing w:val="-6"/>
                <w:sz w:val="21"/>
                <w:szCs w:val="21"/>
              </w:rPr>
              <w:t>管理软件最佳实践需求自行增加硬盘，达到最终</w:t>
            </w:r>
            <w:r>
              <w:rPr>
                <w:rFonts w:hint="eastAsia" w:ascii="宋体" w:hAnsi="宋体"/>
                <w:spacing w:val="-6"/>
                <w:sz w:val="21"/>
                <w:szCs w:val="21"/>
                <w:lang w:eastAsia="zh-CN"/>
              </w:rPr>
              <w:t>管理云平台</w:t>
            </w:r>
            <w:r>
              <w:rPr>
                <w:rFonts w:hint="eastAsia" w:ascii="宋体" w:hAnsi="宋体"/>
                <w:spacing w:val="-6"/>
                <w:sz w:val="21"/>
                <w:szCs w:val="21"/>
              </w:rPr>
              <w:t>长期稳定可靠的效果）。</w:t>
            </w:r>
          </w:p>
        </w:tc>
      </w:tr>
      <w:tr w14:paraId="23191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vMerge w:val="continue"/>
            <w:tcBorders>
              <w:top w:val="single" w:color="auto" w:sz="4" w:space="0"/>
              <w:left w:val="single" w:color="auto" w:sz="4" w:space="0"/>
              <w:bottom w:val="single" w:color="auto" w:sz="4" w:space="0"/>
              <w:right w:val="single" w:color="auto" w:sz="4" w:space="0"/>
            </w:tcBorders>
            <w:vAlign w:val="center"/>
          </w:tcPr>
          <w:p w14:paraId="45A41C60">
            <w:pPr>
              <w:pStyle w:val="1306"/>
              <w:rPr>
                <w:rFonts w:ascii="宋体" w:hAnsi="宋体"/>
                <w:sz w:val="21"/>
                <w:szCs w:val="21"/>
              </w:rPr>
            </w:pPr>
          </w:p>
        </w:tc>
        <w:tc>
          <w:tcPr>
            <w:tcW w:w="6611" w:type="dxa"/>
            <w:tcBorders>
              <w:top w:val="single" w:color="auto" w:sz="4" w:space="0"/>
              <w:left w:val="single" w:color="auto" w:sz="4" w:space="0"/>
              <w:bottom w:val="single" w:color="auto" w:sz="4" w:space="0"/>
              <w:right w:val="single" w:color="auto" w:sz="4" w:space="0"/>
            </w:tcBorders>
          </w:tcPr>
          <w:p w14:paraId="287B8A82">
            <w:pPr>
              <w:pStyle w:val="1306"/>
              <w:ind w:left="0" w:firstLine="0"/>
              <w:jc w:val="left"/>
              <w:rPr>
                <w:rFonts w:ascii="宋体" w:hAnsi="宋体"/>
                <w:sz w:val="21"/>
                <w:szCs w:val="21"/>
              </w:rPr>
            </w:pPr>
            <w:r>
              <w:rPr>
                <w:rFonts w:hint="eastAsia" w:ascii="宋体" w:hAnsi="宋体"/>
                <w:sz w:val="21"/>
                <w:szCs w:val="21"/>
              </w:rPr>
              <w:t>配置独立RAID卡，2</w:t>
            </w:r>
            <w:r>
              <w:rPr>
                <w:rFonts w:ascii="宋体" w:hAnsi="宋体"/>
                <w:sz w:val="21"/>
                <w:szCs w:val="21"/>
              </w:rPr>
              <w:t>G缓存，8</w:t>
            </w:r>
            <w:r>
              <w:rPr>
                <w:rFonts w:hint="eastAsia" w:ascii="宋体" w:hAnsi="宋体"/>
                <w:sz w:val="21"/>
                <w:szCs w:val="21"/>
              </w:rPr>
              <w:t>端口，支持RAID 0,1,10,5等。</w:t>
            </w:r>
          </w:p>
        </w:tc>
      </w:tr>
      <w:tr w14:paraId="1F6DE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371C00A5">
            <w:pPr>
              <w:pStyle w:val="1306"/>
              <w:ind w:left="0" w:firstLine="0"/>
              <w:rPr>
                <w:rFonts w:ascii="宋体" w:hAnsi="宋体"/>
                <w:sz w:val="21"/>
                <w:szCs w:val="21"/>
              </w:rPr>
            </w:pPr>
            <w:r>
              <w:rPr>
                <w:rFonts w:hint="eastAsia" w:ascii="宋体" w:hAnsi="宋体"/>
                <w:sz w:val="21"/>
                <w:szCs w:val="21"/>
              </w:rPr>
              <w:t>网口</w:t>
            </w:r>
          </w:p>
        </w:tc>
        <w:tc>
          <w:tcPr>
            <w:tcW w:w="6611" w:type="dxa"/>
            <w:tcBorders>
              <w:top w:val="single" w:color="auto" w:sz="4" w:space="0"/>
              <w:left w:val="single" w:color="auto" w:sz="4" w:space="0"/>
              <w:bottom w:val="single" w:color="auto" w:sz="4" w:space="0"/>
              <w:right w:val="single" w:color="auto" w:sz="4" w:space="0"/>
            </w:tcBorders>
            <w:vAlign w:val="center"/>
          </w:tcPr>
          <w:p w14:paraId="51ED5F3B">
            <w:pPr>
              <w:pStyle w:val="1306"/>
              <w:ind w:left="0" w:firstLine="0"/>
              <w:jc w:val="left"/>
              <w:rPr>
                <w:rFonts w:ascii="宋体" w:hAnsi="宋体"/>
                <w:sz w:val="21"/>
                <w:szCs w:val="21"/>
              </w:rPr>
            </w:pPr>
            <w:r>
              <w:rPr>
                <w:rFonts w:hint="eastAsia" w:ascii="宋体" w:hAnsi="宋体"/>
                <w:sz w:val="21"/>
                <w:szCs w:val="21"/>
              </w:rPr>
              <w:t>配置≥</w:t>
            </w:r>
            <w:r>
              <w:rPr>
                <w:rFonts w:ascii="宋体" w:hAnsi="宋体"/>
                <w:sz w:val="21"/>
                <w:szCs w:val="21"/>
              </w:rPr>
              <w:t>8</w:t>
            </w:r>
            <w:r>
              <w:rPr>
                <w:rFonts w:hint="eastAsia" w:ascii="宋体" w:hAnsi="宋体"/>
                <w:sz w:val="21"/>
                <w:szCs w:val="21"/>
              </w:rPr>
              <w:t>个10G光口（4张双口网卡，含多模光模块）</w:t>
            </w:r>
            <w:r>
              <w:rPr>
                <w:rFonts w:hint="eastAsia" w:ascii="宋体" w:hAnsi="宋体"/>
                <w:spacing w:val="-6"/>
                <w:sz w:val="21"/>
                <w:szCs w:val="21"/>
              </w:rPr>
              <w:t>，≥2个1GE电口。</w:t>
            </w:r>
          </w:p>
        </w:tc>
      </w:tr>
      <w:tr w14:paraId="68F53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65D5C80B">
            <w:pPr>
              <w:pStyle w:val="1306"/>
              <w:ind w:left="0" w:firstLine="0"/>
              <w:rPr>
                <w:rFonts w:ascii="宋体" w:hAnsi="宋体"/>
                <w:sz w:val="21"/>
                <w:szCs w:val="21"/>
              </w:rPr>
            </w:pPr>
            <w:r>
              <w:rPr>
                <w:rFonts w:hint="eastAsia" w:ascii="宋体" w:hAnsi="宋体"/>
                <w:sz w:val="21"/>
                <w:szCs w:val="21"/>
              </w:rPr>
              <w:t>I/O扩展</w:t>
            </w:r>
          </w:p>
        </w:tc>
        <w:tc>
          <w:tcPr>
            <w:tcW w:w="6611" w:type="dxa"/>
            <w:tcBorders>
              <w:top w:val="single" w:color="auto" w:sz="4" w:space="0"/>
              <w:left w:val="single" w:color="auto" w:sz="4" w:space="0"/>
              <w:bottom w:val="single" w:color="auto" w:sz="4" w:space="0"/>
              <w:right w:val="single" w:color="auto" w:sz="4" w:space="0"/>
            </w:tcBorders>
          </w:tcPr>
          <w:p w14:paraId="1B9C69B2">
            <w:pPr>
              <w:pStyle w:val="1306"/>
              <w:ind w:left="0" w:firstLine="0"/>
              <w:jc w:val="left"/>
              <w:rPr>
                <w:rFonts w:ascii="宋体" w:hAnsi="宋体"/>
                <w:sz w:val="21"/>
                <w:szCs w:val="21"/>
              </w:rPr>
            </w:pPr>
            <w:r>
              <w:rPr>
                <w:rFonts w:hint="eastAsia" w:ascii="宋体" w:hAnsi="宋体"/>
                <w:sz w:val="21"/>
                <w:szCs w:val="21"/>
              </w:rPr>
              <w:t>配置PCI-E I/O插槽总数≥8个。</w:t>
            </w:r>
          </w:p>
        </w:tc>
      </w:tr>
      <w:tr w14:paraId="66C5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3939B52E">
            <w:pPr>
              <w:pStyle w:val="1306"/>
              <w:ind w:left="0" w:firstLine="0"/>
              <w:rPr>
                <w:rFonts w:ascii="宋体" w:hAnsi="宋体"/>
                <w:sz w:val="21"/>
                <w:szCs w:val="21"/>
              </w:rPr>
            </w:pPr>
            <w:r>
              <w:rPr>
                <w:rFonts w:hint="eastAsia" w:ascii="宋体" w:hAnsi="宋体"/>
                <w:sz w:val="21"/>
                <w:szCs w:val="21"/>
              </w:rPr>
              <w:t>电源</w:t>
            </w:r>
          </w:p>
        </w:tc>
        <w:tc>
          <w:tcPr>
            <w:tcW w:w="6611" w:type="dxa"/>
            <w:tcBorders>
              <w:top w:val="single" w:color="auto" w:sz="4" w:space="0"/>
              <w:left w:val="single" w:color="auto" w:sz="4" w:space="0"/>
              <w:bottom w:val="single" w:color="auto" w:sz="4" w:space="0"/>
              <w:right w:val="single" w:color="auto" w:sz="4" w:space="0"/>
            </w:tcBorders>
            <w:vAlign w:val="center"/>
          </w:tcPr>
          <w:p w14:paraId="61FFD1DF">
            <w:pPr>
              <w:pStyle w:val="1306"/>
              <w:ind w:left="0" w:firstLine="0"/>
              <w:jc w:val="left"/>
              <w:rPr>
                <w:rFonts w:ascii="宋体" w:hAnsi="宋体"/>
                <w:sz w:val="21"/>
                <w:szCs w:val="21"/>
              </w:rPr>
            </w:pPr>
            <w:r>
              <w:rPr>
                <w:rFonts w:hint="eastAsia" w:ascii="宋体" w:hAnsi="宋体"/>
                <w:spacing w:val="-6"/>
                <w:sz w:val="21"/>
                <w:szCs w:val="21"/>
              </w:rPr>
              <w:t>配置热插拔冗余电源，支持1+1冗余。</w:t>
            </w:r>
          </w:p>
        </w:tc>
      </w:tr>
      <w:tr w14:paraId="48B17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0A19C28F">
            <w:pPr>
              <w:pStyle w:val="1306"/>
              <w:ind w:left="0" w:firstLine="0"/>
              <w:rPr>
                <w:rFonts w:ascii="宋体" w:hAnsi="宋体"/>
                <w:sz w:val="21"/>
                <w:szCs w:val="21"/>
              </w:rPr>
            </w:pPr>
            <w:r>
              <w:rPr>
                <w:rFonts w:hint="eastAsia" w:ascii="宋体" w:hAnsi="宋体"/>
                <w:sz w:val="21"/>
                <w:szCs w:val="21"/>
              </w:rPr>
              <w:t>风扇</w:t>
            </w:r>
          </w:p>
        </w:tc>
        <w:tc>
          <w:tcPr>
            <w:tcW w:w="6611" w:type="dxa"/>
            <w:tcBorders>
              <w:top w:val="single" w:color="auto" w:sz="4" w:space="0"/>
              <w:left w:val="single" w:color="auto" w:sz="4" w:space="0"/>
              <w:bottom w:val="single" w:color="auto" w:sz="4" w:space="0"/>
              <w:right w:val="single" w:color="auto" w:sz="4" w:space="0"/>
            </w:tcBorders>
            <w:vAlign w:val="center"/>
          </w:tcPr>
          <w:p w14:paraId="510CEAD6">
            <w:pPr>
              <w:pStyle w:val="1306"/>
              <w:ind w:left="0" w:firstLine="0"/>
              <w:jc w:val="left"/>
              <w:rPr>
                <w:rFonts w:ascii="宋体" w:hAnsi="宋体"/>
                <w:sz w:val="21"/>
                <w:szCs w:val="21"/>
              </w:rPr>
            </w:pPr>
            <w:r>
              <w:rPr>
                <w:rFonts w:hint="eastAsia" w:ascii="宋体" w:hAnsi="宋体"/>
                <w:sz w:val="21"/>
                <w:szCs w:val="21"/>
              </w:rPr>
              <w:t>配置热插拔冗余风扇。</w:t>
            </w:r>
          </w:p>
        </w:tc>
      </w:tr>
      <w:tr w14:paraId="00847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5E1B0A7C">
            <w:pPr>
              <w:pStyle w:val="1306"/>
              <w:ind w:left="0" w:firstLine="0"/>
              <w:rPr>
                <w:rFonts w:ascii="宋体" w:hAnsi="宋体"/>
                <w:sz w:val="21"/>
                <w:szCs w:val="21"/>
              </w:rPr>
            </w:pPr>
            <w:r>
              <w:rPr>
                <w:rFonts w:hint="eastAsia" w:ascii="宋体" w:hAnsi="宋体"/>
                <w:sz w:val="21"/>
                <w:szCs w:val="21"/>
              </w:rPr>
              <w:t>管理维护</w:t>
            </w:r>
          </w:p>
        </w:tc>
        <w:tc>
          <w:tcPr>
            <w:tcW w:w="6611" w:type="dxa"/>
            <w:tcBorders>
              <w:top w:val="single" w:color="auto" w:sz="4" w:space="0"/>
              <w:left w:val="single" w:color="auto" w:sz="4" w:space="0"/>
              <w:bottom w:val="single" w:color="auto" w:sz="4" w:space="0"/>
              <w:right w:val="single" w:color="auto" w:sz="4" w:space="0"/>
            </w:tcBorders>
            <w:vAlign w:val="center"/>
          </w:tcPr>
          <w:p w14:paraId="0EB3DD58">
            <w:pPr>
              <w:pStyle w:val="1306"/>
              <w:ind w:left="0" w:firstLine="0"/>
              <w:jc w:val="left"/>
              <w:rPr>
                <w:rFonts w:ascii="宋体" w:hAnsi="宋体"/>
                <w:sz w:val="21"/>
                <w:szCs w:val="21"/>
              </w:rPr>
            </w:pPr>
            <w:r>
              <w:rPr>
                <w:rFonts w:hint="eastAsia" w:ascii="宋体" w:hAnsi="宋体"/>
                <w:sz w:val="21"/>
                <w:szCs w:val="21"/>
              </w:rPr>
              <w:t>配置≥1Gb独立的远程管理控制端口，配置虚拟KVM功能, 可实现与操作系统无关的远程对服务器的完全控制，包括远程的开机、关机、重启、更新固件等操作，提供服务器日志，能够提供电源监控，可支持动态功率封顶。</w:t>
            </w:r>
          </w:p>
        </w:tc>
      </w:tr>
      <w:tr w14:paraId="08D54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692" w:type="dxa"/>
            <w:tcBorders>
              <w:top w:val="single" w:color="auto" w:sz="4" w:space="0"/>
              <w:left w:val="single" w:color="auto" w:sz="4" w:space="0"/>
              <w:bottom w:val="single" w:color="auto" w:sz="4" w:space="0"/>
              <w:right w:val="single" w:color="auto" w:sz="4" w:space="0"/>
            </w:tcBorders>
            <w:vAlign w:val="center"/>
          </w:tcPr>
          <w:p w14:paraId="303B6B1E">
            <w:pPr>
              <w:pStyle w:val="1306"/>
              <w:ind w:left="0" w:firstLine="0"/>
              <w:rPr>
                <w:rFonts w:ascii="宋体" w:hAnsi="宋体"/>
                <w:sz w:val="21"/>
                <w:szCs w:val="21"/>
              </w:rPr>
            </w:pPr>
            <w:r>
              <w:rPr>
                <w:rFonts w:hint="eastAsia" w:ascii="宋体" w:hAnsi="宋体" w:cs="Times New Roman"/>
                <w:sz w:val="21"/>
                <w:szCs w:val="21"/>
                <w:lang w:bidi="ar"/>
              </w:rPr>
              <w:t>管理要求</w:t>
            </w:r>
          </w:p>
        </w:tc>
        <w:tc>
          <w:tcPr>
            <w:tcW w:w="6611" w:type="dxa"/>
            <w:tcBorders>
              <w:top w:val="single" w:color="auto" w:sz="4" w:space="0"/>
              <w:left w:val="single" w:color="auto" w:sz="4" w:space="0"/>
              <w:bottom w:val="single" w:color="auto" w:sz="4" w:space="0"/>
              <w:right w:val="single" w:color="auto" w:sz="4" w:space="0"/>
            </w:tcBorders>
            <w:vAlign w:val="center"/>
          </w:tcPr>
          <w:p w14:paraId="377E9F05">
            <w:pPr>
              <w:pStyle w:val="1306"/>
              <w:ind w:left="0" w:firstLine="0"/>
              <w:jc w:val="left"/>
              <w:rPr>
                <w:rFonts w:ascii="宋体" w:hAnsi="宋体"/>
                <w:sz w:val="21"/>
                <w:szCs w:val="21"/>
              </w:rPr>
            </w:pPr>
            <w:r>
              <w:rPr>
                <w:rFonts w:hint="eastAsia" w:ascii="宋体" w:hAnsi="宋体" w:cs="Times New Roman"/>
                <w:sz w:val="21"/>
                <w:szCs w:val="21"/>
                <w:lang w:bidi="ar"/>
              </w:rPr>
              <w:t>若</w:t>
            </w:r>
            <w:r>
              <w:rPr>
                <w:rFonts w:hint="eastAsia" w:ascii="宋体" w:hAnsi="宋体" w:cs="Times New Roman"/>
                <w:sz w:val="21"/>
                <w:szCs w:val="21"/>
                <w:lang w:eastAsia="zh-CN" w:bidi="ar"/>
              </w:rPr>
              <w:t>管理云平台</w:t>
            </w:r>
            <w:r>
              <w:rPr>
                <w:rFonts w:hint="eastAsia" w:ascii="宋体" w:hAnsi="宋体" w:cs="Times New Roman"/>
                <w:sz w:val="21"/>
                <w:szCs w:val="21"/>
                <w:lang w:bidi="ar"/>
              </w:rPr>
              <w:t>需要使用独立的管理节点，应根据实际需求额外配置满足</w:t>
            </w:r>
            <w:r>
              <w:rPr>
                <w:rFonts w:hint="eastAsia" w:ascii="宋体" w:hAnsi="宋体" w:cs="Times New Roman"/>
                <w:sz w:val="21"/>
                <w:szCs w:val="21"/>
                <w:lang w:eastAsia="zh-CN" w:bidi="ar"/>
              </w:rPr>
              <w:t>管理云平台</w:t>
            </w:r>
            <w:r>
              <w:rPr>
                <w:rFonts w:hint="eastAsia" w:ascii="宋体" w:hAnsi="宋体" w:cs="Times New Roman"/>
                <w:sz w:val="21"/>
                <w:szCs w:val="21"/>
                <w:lang w:bidi="ar"/>
              </w:rPr>
              <w:t>管理需要的相应数量管理节点服务器。（要求</w:t>
            </w:r>
            <w:r>
              <w:rPr>
                <w:rFonts w:hint="eastAsia" w:ascii="宋体" w:hAnsi="宋体" w:cs="Times New Roman"/>
                <w:sz w:val="21"/>
                <w:szCs w:val="21"/>
                <w:lang w:eastAsia="zh-CN" w:bidi="ar"/>
              </w:rPr>
              <w:t>管理云平台</w:t>
            </w:r>
            <w:r>
              <w:rPr>
                <w:rFonts w:hint="eastAsia" w:ascii="宋体" w:hAnsi="宋体" w:cs="Times New Roman"/>
                <w:sz w:val="21"/>
                <w:szCs w:val="21"/>
                <w:lang w:bidi="ar"/>
              </w:rPr>
              <w:t>管理不能占用计算节点资源）。</w:t>
            </w:r>
          </w:p>
        </w:tc>
      </w:tr>
    </w:tbl>
    <w:p w14:paraId="65F09E12"/>
    <w:p w14:paraId="0179A11C">
      <w:pPr>
        <w:pStyle w:val="5"/>
        <w:rPr>
          <w:rFonts w:hAnsi="宋体"/>
          <w:bCs w:val="0"/>
          <w:color w:val="auto"/>
          <w:szCs w:val="21"/>
        </w:rPr>
      </w:pPr>
      <w:r>
        <w:rPr>
          <w:rFonts w:hint="eastAsia" w:hAnsi="宋体"/>
          <w:bCs w:val="0"/>
          <w:color w:val="auto"/>
          <w:szCs w:val="21"/>
          <w:lang w:val="en-US"/>
        </w:rPr>
        <w:t>存储管理服务器</w:t>
      </w:r>
    </w:p>
    <w:tbl>
      <w:tblPr>
        <w:tblStyle w:val="87"/>
        <w:tblW w:w="8328" w:type="dxa"/>
        <w:tblInd w:w="443" w:type="dxa"/>
        <w:tblLayout w:type="fixed"/>
        <w:tblCellMar>
          <w:top w:w="0" w:type="dxa"/>
          <w:left w:w="108" w:type="dxa"/>
          <w:bottom w:w="0" w:type="dxa"/>
          <w:right w:w="108" w:type="dxa"/>
        </w:tblCellMar>
      </w:tblPr>
      <w:tblGrid>
        <w:gridCol w:w="1690"/>
        <w:gridCol w:w="6638"/>
      </w:tblGrid>
      <w:tr w14:paraId="3AE6FEF7">
        <w:tblPrEx>
          <w:tblCellMar>
            <w:top w:w="0" w:type="dxa"/>
            <w:left w:w="108" w:type="dxa"/>
            <w:bottom w:w="0" w:type="dxa"/>
            <w:right w:w="108" w:type="dxa"/>
          </w:tblCellMar>
        </w:tblPrEx>
        <w:trPr>
          <w:trHeight w:val="270" w:hRule="atLeast"/>
        </w:trPr>
        <w:tc>
          <w:tcPr>
            <w:tcW w:w="1690" w:type="dxa"/>
            <w:tcBorders>
              <w:top w:val="single" w:color="auto" w:sz="4" w:space="0"/>
              <w:left w:val="single" w:color="auto" w:sz="4" w:space="0"/>
              <w:bottom w:val="single" w:color="auto" w:sz="4" w:space="0"/>
              <w:right w:val="single" w:color="auto" w:sz="4" w:space="0"/>
            </w:tcBorders>
            <w:vAlign w:val="center"/>
          </w:tcPr>
          <w:p w14:paraId="76E4CA2C">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指标项</w:t>
            </w:r>
          </w:p>
        </w:tc>
        <w:tc>
          <w:tcPr>
            <w:tcW w:w="6638" w:type="dxa"/>
            <w:tcBorders>
              <w:top w:val="single" w:color="auto" w:sz="4" w:space="0"/>
              <w:left w:val="nil"/>
              <w:bottom w:val="single" w:color="auto" w:sz="4" w:space="0"/>
              <w:right w:val="single" w:color="auto" w:sz="4" w:space="0"/>
            </w:tcBorders>
            <w:vAlign w:val="center"/>
          </w:tcPr>
          <w:p w14:paraId="3A507BA9">
            <w:pPr>
              <w:widowControl/>
              <w:spacing w:line="240" w:lineRule="auto"/>
              <w:ind w:left="0" w:firstLine="0"/>
              <w:jc w:val="both"/>
              <w:rPr>
                <w:rFonts w:ascii="宋体" w:hAnsi="宋体" w:cs="宋体"/>
                <w:kern w:val="0"/>
                <w:sz w:val="21"/>
                <w:szCs w:val="21"/>
              </w:rPr>
            </w:pPr>
            <w:r>
              <w:rPr>
                <w:rFonts w:hint="eastAsia" w:ascii="宋体" w:hAnsi="宋体" w:cs="宋体"/>
                <w:kern w:val="0"/>
                <w:sz w:val="21"/>
                <w:szCs w:val="21"/>
              </w:rPr>
              <w:t>技术规格要求</w:t>
            </w:r>
          </w:p>
        </w:tc>
      </w:tr>
      <w:tr w14:paraId="3FB56E30">
        <w:tblPrEx>
          <w:tblCellMar>
            <w:top w:w="0" w:type="dxa"/>
            <w:left w:w="108" w:type="dxa"/>
            <w:bottom w:w="0" w:type="dxa"/>
            <w:right w:w="108" w:type="dxa"/>
          </w:tblCellMar>
        </w:tblPrEx>
        <w:trPr>
          <w:trHeight w:val="270" w:hRule="atLeast"/>
        </w:trPr>
        <w:tc>
          <w:tcPr>
            <w:tcW w:w="1690" w:type="dxa"/>
            <w:tcBorders>
              <w:top w:val="single" w:color="auto" w:sz="4" w:space="0"/>
              <w:left w:val="single" w:color="auto" w:sz="4" w:space="0"/>
              <w:bottom w:val="single" w:color="auto" w:sz="4" w:space="0"/>
              <w:right w:val="single" w:color="auto" w:sz="4" w:space="0"/>
            </w:tcBorders>
            <w:vAlign w:val="center"/>
          </w:tcPr>
          <w:p w14:paraId="1D7A6796">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自主研发</w:t>
            </w:r>
          </w:p>
        </w:tc>
        <w:tc>
          <w:tcPr>
            <w:tcW w:w="6638" w:type="dxa"/>
            <w:tcBorders>
              <w:top w:val="single" w:color="auto" w:sz="4" w:space="0"/>
              <w:left w:val="nil"/>
              <w:bottom w:val="single" w:color="auto" w:sz="4" w:space="0"/>
              <w:right w:val="single" w:color="auto" w:sz="4" w:space="0"/>
            </w:tcBorders>
            <w:vAlign w:val="center"/>
          </w:tcPr>
          <w:p w14:paraId="29AA3B15">
            <w:pPr>
              <w:widowControl/>
              <w:spacing w:line="240" w:lineRule="auto"/>
              <w:ind w:left="0" w:firstLine="0"/>
              <w:jc w:val="both"/>
              <w:rPr>
                <w:rFonts w:ascii="宋体" w:hAnsi="宋体" w:cs="宋体"/>
                <w:kern w:val="0"/>
                <w:sz w:val="21"/>
                <w:szCs w:val="21"/>
              </w:rPr>
            </w:pPr>
            <w:r>
              <w:rPr>
                <w:rFonts w:hint="eastAsia" w:ascii="宋体" w:hAnsi="宋体" w:cs="宋体"/>
                <w:kern w:val="0"/>
                <w:sz w:val="21"/>
                <w:szCs w:val="21"/>
              </w:rPr>
              <w:t>非OEM产品，所投产品拥有完全的自主知识产权。</w:t>
            </w:r>
          </w:p>
        </w:tc>
      </w:tr>
      <w:tr w14:paraId="190861D5">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00FE3ADB">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控制器架构</w:t>
            </w:r>
          </w:p>
        </w:tc>
        <w:tc>
          <w:tcPr>
            <w:tcW w:w="6638" w:type="dxa"/>
            <w:tcBorders>
              <w:top w:val="nil"/>
              <w:left w:val="nil"/>
              <w:bottom w:val="single" w:color="auto" w:sz="4" w:space="0"/>
              <w:right w:val="single" w:color="auto" w:sz="4" w:space="0"/>
            </w:tcBorders>
            <w:vAlign w:val="center"/>
          </w:tcPr>
          <w:p w14:paraId="0FC69F5C">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控制器架构：盘控分离多控架构，配置S</w:t>
            </w:r>
            <w:r>
              <w:rPr>
                <w:rFonts w:ascii="宋体" w:hAnsi="宋体" w:cs="宋体"/>
                <w:kern w:val="0"/>
                <w:sz w:val="21"/>
                <w:szCs w:val="21"/>
              </w:rPr>
              <w:t>AN功能。</w:t>
            </w:r>
            <w:r>
              <w:rPr>
                <w:rFonts w:hint="eastAsia" w:ascii="宋体" w:hAnsi="宋体" w:cs="宋体"/>
                <w:kern w:val="0"/>
                <w:sz w:val="21"/>
                <w:szCs w:val="21"/>
              </w:rPr>
              <w:t>本次配置≥2个控制器。</w:t>
            </w:r>
            <w:r>
              <w:rPr>
                <w:rFonts w:hint="eastAsia" w:ascii="宋体" w:hAnsi="宋体" w:cs="宋体"/>
                <w:sz w:val="21"/>
                <w:szCs w:val="21"/>
              </w:rPr>
              <w:t>每控制器采用</w:t>
            </w:r>
            <w:r>
              <w:rPr>
                <w:rFonts w:hint="eastAsia" w:ascii="宋体" w:hAnsi="宋体" w:cs="宋体"/>
                <w:kern w:val="0"/>
                <w:sz w:val="21"/>
                <w:szCs w:val="21"/>
              </w:rPr>
              <w:t>≥</w:t>
            </w:r>
            <w:r>
              <w:rPr>
                <w:rFonts w:hint="eastAsia" w:ascii="宋体" w:hAnsi="宋体" w:cs="宋体"/>
                <w:sz w:val="21"/>
                <w:szCs w:val="21"/>
              </w:rPr>
              <w:t>1颗国产化高性能多核处理器（单颗处理器ARM架构核数≥64核；单颗处理器C86架构核数≥32核）。</w:t>
            </w:r>
            <w:r>
              <w:rPr>
                <w:rFonts w:hint="eastAsia" w:ascii="宋体" w:hAnsi="宋体" w:cs="宋体"/>
                <w:kern w:val="0"/>
                <w:sz w:val="21"/>
                <w:szCs w:val="21"/>
              </w:rPr>
              <w:t>用于缓存镜像/RAID计算/复制等高级功能数据处理；</w:t>
            </w:r>
            <w:r>
              <w:rPr>
                <w:rFonts w:hint="eastAsia" w:ascii="宋体" w:hAnsi="宋体" w:cs="宋体"/>
                <w:sz w:val="21"/>
                <w:szCs w:val="21"/>
              </w:rPr>
              <w:t>具备断电缓存保护功能，掉电时Cache数据可安全写入Flash或硬盘等非易失性存储设备上永久保存</w:t>
            </w:r>
            <w:r>
              <w:rPr>
                <w:rFonts w:ascii="宋体" w:hAnsi="宋体" w:cs="宋体"/>
                <w:sz w:val="21"/>
                <w:szCs w:val="21"/>
              </w:rPr>
              <w:t>。</w:t>
            </w:r>
          </w:p>
        </w:tc>
      </w:tr>
      <w:tr w14:paraId="3538510E">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58DDA1AD">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存储缓存容量</w:t>
            </w:r>
          </w:p>
        </w:tc>
        <w:tc>
          <w:tcPr>
            <w:tcW w:w="6638" w:type="dxa"/>
            <w:tcBorders>
              <w:top w:val="nil"/>
              <w:left w:val="nil"/>
              <w:bottom w:val="single" w:color="auto" w:sz="4" w:space="0"/>
              <w:right w:val="single" w:color="auto" w:sz="4" w:space="0"/>
            </w:tcBorders>
            <w:vAlign w:val="center"/>
          </w:tcPr>
          <w:p w14:paraId="6787FF35">
            <w:pPr>
              <w:widowControl/>
              <w:spacing w:line="240" w:lineRule="auto"/>
              <w:ind w:left="0" w:firstLine="0"/>
              <w:rPr>
                <w:rFonts w:ascii="宋体" w:hAnsi="宋体" w:cs="宋体"/>
                <w:kern w:val="0"/>
                <w:sz w:val="21"/>
                <w:szCs w:val="21"/>
              </w:rPr>
            </w:pPr>
            <w:r>
              <w:rPr>
                <w:rFonts w:hint="eastAsia" w:ascii="宋体" w:hAnsi="宋体" w:cs="宋体"/>
                <w:sz w:val="21"/>
                <w:szCs w:val="21"/>
                <w:lang w:bidi="hi-IN"/>
              </w:rPr>
              <w:t>双控制器最高支持</w:t>
            </w:r>
            <w:r>
              <w:rPr>
                <w:rFonts w:ascii="宋体" w:hAnsi="宋体" w:cs="宋体"/>
                <w:sz w:val="21"/>
                <w:szCs w:val="21"/>
              </w:rPr>
              <w:t>2</w:t>
            </w:r>
            <w:r>
              <w:rPr>
                <w:rFonts w:hint="eastAsia" w:ascii="宋体" w:hAnsi="宋体" w:cs="宋体"/>
                <w:sz w:val="21"/>
                <w:szCs w:val="21"/>
              </w:rPr>
              <w:t>TB</w:t>
            </w:r>
            <w:r>
              <w:rPr>
                <w:rFonts w:hint="eastAsia" w:ascii="宋体" w:hAnsi="宋体" w:cs="宋体"/>
                <w:sz w:val="21"/>
                <w:szCs w:val="21"/>
                <w:lang w:bidi="hi-IN"/>
              </w:rPr>
              <w:t>高速缓存，</w:t>
            </w:r>
            <w:r>
              <w:rPr>
                <w:rFonts w:hint="eastAsia" w:ascii="宋体" w:hAnsi="宋体" w:cs="宋体"/>
                <w:kern w:val="0"/>
                <w:sz w:val="21"/>
                <w:szCs w:val="21"/>
              </w:rPr>
              <w:t>配置缓存容量≥</w:t>
            </w:r>
            <w:r>
              <w:rPr>
                <w:rFonts w:hint="eastAsia" w:ascii="宋体" w:hAnsi="宋体" w:cs="宋体"/>
                <w:sz w:val="21"/>
                <w:szCs w:val="21"/>
              </w:rPr>
              <w:t>512GB</w:t>
            </w:r>
            <w:r>
              <w:rPr>
                <w:rFonts w:hint="eastAsia" w:ascii="宋体" w:hAnsi="宋体" w:cs="宋体"/>
                <w:kern w:val="0"/>
                <w:sz w:val="21"/>
                <w:szCs w:val="21"/>
              </w:rPr>
              <w:t>（不含任何性能加速模块、PAM卡，SSDCache等）。</w:t>
            </w:r>
          </w:p>
        </w:tc>
      </w:tr>
      <w:tr w14:paraId="080E86C5">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5BADA163">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主机通道接口</w:t>
            </w:r>
          </w:p>
        </w:tc>
        <w:tc>
          <w:tcPr>
            <w:tcW w:w="6638" w:type="dxa"/>
            <w:tcBorders>
              <w:top w:val="nil"/>
              <w:left w:val="nil"/>
              <w:bottom w:val="single" w:color="auto" w:sz="4" w:space="0"/>
              <w:right w:val="single" w:color="auto" w:sz="4" w:space="0"/>
            </w:tcBorders>
            <w:vAlign w:val="center"/>
          </w:tcPr>
          <w:p w14:paraId="02EF1F00">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每控制器最大前端主机接口数≥40，配置≥8*10Gbps 主机接口（含光模块及跳线）；根据硬盘类型和扩展柜数量配置相应的后端主机接口，满足硬盘链路冗余使用需求。</w:t>
            </w:r>
          </w:p>
        </w:tc>
      </w:tr>
      <w:tr w14:paraId="02895AC9">
        <w:tblPrEx>
          <w:tblCellMar>
            <w:top w:w="0" w:type="dxa"/>
            <w:left w:w="108" w:type="dxa"/>
            <w:bottom w:w="0" w:type="dxa"/>
            <w:right w:w="108" w:type="dxa"/>
          </w:tblCellMar>
        </w:tblPrEx>
        <w:trPr>
          <w:trHeight w:val="270" w:hRule="atLeast"/>
        </w:trPr>
        <w:tc>
          <w:tcPr>
            <w:tcW w:w="1690" w:type="dxa"/>
            <w:tcBorders>
              <w:top w:val="nil"/>
              <w:left w:val="single" w:color="auto" w:sz="4" w:space="0"/>
              <w:bottom w:val="single" w:color="auto" w:sz="4" w:space="0"/>
              <w:right w:val="single" w:color="auto" w:sz="4" w:space="0"/>
            </w:tcBorders>
            <w:vAlign w:val="center"/>
          </w:tcPr>
          <w:p w14:paraId="6F6ACA7D">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主机接口类型</w:t>
            </w:r>
          </w:p>
        </w:tc>
        <w:tc>
          <w:tcPr>
            <w:tcW w:w="6638" w:type="dxa"/>
            <w:tcBorders>
              <w:top w:val="nil"/>
              <w:left w:val="nil"/>
              <w:bottom w:val="single" w:color="auto" w:sz="4" w:space="0"/>
              <w:right w:val="single" w:color="auto" w:sz="4" w:space="0"/>
            </w:tcBorders>
            <w:vAlign w:val="center"/>
          </w:tcPr>
          <w:p w14:paraId="7681ECA9">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支持8Gbps FC、16Gbps FC、32Gbps FC、1Gbps iSCSI、10Gbps iSCSI、25Gbps iSCSI。</w:t>
            </w:r>
          </w:p>
        </w:tc>
      </w:tr>
      <w:tr w14:paraId="0335498D">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4F401E7E">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配置硬盘</w:t>
            </w:r>
          </w:p>
        </w:tc>
        <w:tc>
          <w:tcPr>
            <w:tcW w:w="6638" w:type="dxa"/>
            <w:tcBorders>
              <w:top w:val="nil"/>
              <w:left w:val="nil"/>
              <w:bottom w:val="single" w:color="auto" w:sz="4" w:space="0"/>
              <w:right w:val="single" w:color="auto" w:sz="4" w:space="0"/>
            </w:tcBorders>
            <w:vAlign w:val="center"/>
          </w:tcPr>
          <w:p w14:paraId="754DB66C">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支持</w:t>
            </w:r>
            <w:r>
              <w:rPr>
                <w:rFonts w:ascii="宋体" w:hAnsi="宋体" w:cs="宋体"/>
                <w:kern w:val="0"/>
                <w:sz w:val="21"/>
                <w:szCs w:val="21"/>
              </w:rPr>
              <w:t>NVME SSD/SATA SSD/SAS HDD等，</w:t>
            </w:r>
            <w:r>
              <w:rPr>
                <w:rFonts w:hint="eastAsia" w:ascii="宋体" w:hAnsi="宋体" w:cs="宋体"/>
                <w:kern w:val="0"/>
                <w:sz w:val="21"/>
                <w:szCs w:val="21"/>
              </w:rPr>
              <w:t>数据盘数量请投标人依据需求自行配置，总有效容量</w:t>
            </w:r>
            <w:r>
              <w:rPr>
                <w:rFonts w:hint="eastAsia" w:ascii="宋体" w:hAnsi="宋体" w:cs="宋体"/>
                <w:sz w:val="21"/>
                <w:szCs w:val="21"/>
              </w:rPr>
              <w:t>≥1</w:t>
            </w:r>
            <w:r>
              <w:rPr>
                <w:rFonts w:hint="eastAsia" w:ascii="宋体" w:hAnsi="宋体" w:cs="宋体"/>
                <w:kern w:val="0"/>
                <w:sz w:val="21"/>
                <w:szCs w:val="21"/>
                <w:lang w:bidi="ar"/>
              </w:rPr>
              <w:t>60T，其中</w:t>
            </w:r>
            <w:r>
              <w:rPr>
                <w:rFonts w:ascii="宋体" w:hAnsi="宋体" w:cs="宋体"/>
                <w:kern w:val="0"/>
                <w:sz w:val="21"/>
                <w:szCs w:val="21"/>
                <w:lang w:bidi="ar"/>
              </w:rPr>
              <w:t xml:space="preserve">NVME </w:t>
            </w:r>
            <w:r>
              <w:rPr>
                <w:rFonts w:hint="eastAsia" w:ascii="宋体" w:hAnsi="宋体" w:cs="宋体"/>
                <w:kern w:val="0"/>
                <w:sz w:val="21"/>
                <w:szCs w:val="21"/>
                <w:lang w:bidi="ar"/>
              </w:rPr>
              <w:t>SSD数据盘</w:t>
            </w:r>
            <w:r>
              <w:rPr>
                <w:rFonts w:hint="eastAsia" w:ascii="宋体" w:hAnsi="宋体" w:cs="宋体"/>
                <w:kern w:val="0"/>
                <w:sz w:val="21"/>
                <w:szCs w:val="21"/>
              </w:rPr>
              <w:t>有效</w:t>
            </w:r>
            <w:r>
              <w:rPr>
                <w:rFonts w:hint="eastAsia" w:ascii="宋体" w:hAnsi="宋体" w:cs="宋体"/>
                <w:kern w:val="0"/>
                <w:sz w:val="21"/>
                <w:szCs w:val="21"/>
                <w:lang w:bidi="ar"/>
              </w:rPr>
              <w:t>容量</w:t>
            </w:r>
            <w:r>
              <w:rPr>
                <w:rFonts w:hint="eastAsia" w:ascii="宋体" w:hAnsi="宋体" w:cs="宋体"/>
                <w:sz w:val="21"/>
                <w:szCs w:val="21"/>
              </w:rPr>
              <w:t>≥</w:t>
            </w:r>
            <w:r>
              <w:rPr>
                <w:rFonts w:hint="eastAsia" w:ascii="宋体" w:hAnsi="宋体" w:cs="宋体"/>
                <w:kern w:val="0"/>
                <w:sz w:val="21"/>
                <w:szCs w:val="21"/>
                <w:lang w:bidi="ar"/>
              </w:rPr>
              <w:t>60T，S</w:t>
            </w:r>
            <w:r>
              <w:rPr>
                <w:rFonts w:ascii="宋体" w:hAnsi="宋体" w:cs="宋体"/>
                <w:kern w:val="0"/>
                <w:sz w:val="21"/>
                <w:szCs w:val="21"/>
                <w:lang w:bidi="ar"/>
              </w:rPr>
              <w:t>SD数据盘</w:t>
            </w:r>
            <w:r>
              <w:rPr>
                <w:rFonts w:hint="eastAsia" w:ascii="宋体" w:hAnsi="宋体" w:cs="宋体"/>
                <w:kern w:val="0"/>
                <w:sz w:val="21"/>
                <w:szCs w:val="21"/>
              </w:rPr>
              <w:t>有效</w:t>
            </w:r>
            <w:r>
              <w:rPr>
                <w:rFonts w:hint="eastAsia" w:ascii="宋体" w:hAnsi="宋体" w:cs="宋体"/>
                <w:kern w:val="0"/>
                <w:sz w:val="21"/>
                <w:szCs w:val="21"/>
                <w:lang w:bidi="ar"/>
              </w:rPr>
              <w:t>容量</w:t>
            </w:r>
            <w:r>
              <w:rPr>
                <w:rFonts w:hint="eastAsia" w:ascii="宋体" w:hAnsi="宋体" w:cs="宋体"/>
                <w:sz w:val="21"/>
                <w:szCs w:val="21"/>
              </w:rPr>
              <w:t>≥</w:t>
            </w:r>
            <w:r>
              <w:rPr>
                <w:rFonts w:hint="eastAsia" w:ascii="宋体" w:hAnsi="宋体" w:cs="宋体"/>
                <w:kern w:val="0"/>
                <w:sz w:val="21"/>
                <w:szCs w:val="21"/>
                <w:lang w:bidi="ar"/>
              </w:rPr>
              <w:t>100T</w:t>
            </w:r>
            <w:r>
              <w:rPr>
                <w:rFonts w:hint="eastAsia" w:ascii="宋体" w:hAnsi="宋体" w:cs="宋体"/>
                <w:kern w:val="0"/>
                <w:sz w:val="21"/>
                <w:szCs w:val="21"/>
              </w:rPr>
              <w:t>；</w:t>
            </w:r>
          </w:p>
          <w:p w14:paraId="29E8763F">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要求</w:t>
            </w:r>
            <w:r>
              <w:rPr>
                <w:rFonts w:ascii="宋体" w:hAnsi="宋体" w:cs="宋体"/>
                <w:kern w:val="0"/>
                <w:sz w:val="21"/>
                <w:szCs w:val="21"/>
              </w:rPr>
              <w:t>NVME SSD采用</w:t>
            </w:r>
            <w:r>
              <w:rPr>
                <w:rFonts w:hint="eastAsia" w:ascii="宋体" w:hAnsi="宋体" w:cs="宋体"/>
                <w:kern w:val="0"/>
                <w:sz w:val="21"/>
                <w:szCs w:val="21"/>
              </w:rPr>
              <w:t>M</w:t>
            </w:r>
            <w:r>
              <w:rPr>
                <w:rFonts w:ascii="宋体" w:hAnsi="宋体" w:cs="宋体"/>
                <w:kern w:val="0"/>
                <w:sz w:val="21"/>
                <w:szCs w:val="21"/>
              </w:rPr>
              <w:t>LC或</w:t>
            </w:r>
            <w:r>
              <w:rPr>
                <w:rFonts w:hint="eastAsia" w:ascii="宋体" w:hAnsi="宋体" w:cs="宋体"/>
                <w:kern w:val="0"/>
                <w:sz w:val="21"/>
                <w:szCs w:val="21"/>
              </w:rPr>
              <w:t>T</w:t>
            </w:r>
            <w:r>
              <w:rPr>
                <w:rFonts w:ascii="宋体" w:hAnsi="宋体" w:cs="宋体"/>
                <w:kern w:val="0"/>
                <w:sz w:val="21"/>
                <w:szCs w:val="21"/>
              </w:rPr>
              <w:t>LC颗粒。</w:t>
            </w:r>
          </w:p>
        </w:tc>
      </w:tr>
      <w:tr w14:paraId="6A41072B">
        <w:tblPrEx>
          <w:tblCellMar>
            <w:top w:w="0" w:type="dxa"/>
            <w:left w:w="108" w:type="dxa"/>
            <w:bottom w:w="0" w:type="dxa"/>
            <w:right w:w="108" w:type="dxa"/>
          </w:tblCellMar>
        </w:tblPrEx>
        <w:trPr>
          <w:trHeight w:val="270" w:hRule="atLeast"/>
        </w:trPr>
        <w:tc>
          <w:tcPr>
            <w:tcW w:w="1690" w:type="dxa"/>
            <w:tcBorders>
              <w:top w:val="nil"/>
              <w:left w:val="single" w:color="auto" w:sz="4" w:space="0"/>
              <w:bottom w:val="single" w:color="auto" w:sz="4" w:space="0"/>
              <w:right w:val="single" w:color="auto" w:sz="4" w:space="0"/>
            </w:tcBorders>
            <w:vAlign w:val="center"/>
          </w:tcPr>
          <w:p w14:paraId="288CB2C2">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支持RAID</w:t>
            </w:r>
          </w:p>
        </w:tc>
        <w:tc>
          <w:tcPr>
            <w:tcW w:w="6638" w:type="dxa"/>
            <w:tcBorders>
              <w:top w:val="nil"/>
              <w:left w:val="nil"/>
              <w:bottom w:val="single" w:color="auto" w:sz="4" w:space="0"/>
              <w:right w:val="single" w:color="auto" w:sz="4" w:space="0"/>
            </w:tcBorders>
            <w:vAlign w:val="center"/>
          </w:tcPr>
          <w:p w14:paraId="39FA374D">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同时支持RAID0、RAID1、RAID5、RAID50、RAID6、</w:t>
            </w:r>
            <w:r>
              <w:rPr>
                <w:rFonts w:ascii="宋体" w:hAnsi="宋体" w:cs="宋体"/>
                <w:kern w:val="0"/>
                <w:sz w:val="21"/>
                <w:szCs w:val="21"/>
              </w:rPr>
              <w:t>RAID60和</w:t>
            </w:r>
            <w:r>
              <w:rPr>
                <w:rFonts w:hint="eastAsia" w:ascii="宋体" w:hAnsi="宋体" w:cs="宋体"/>
                <w:sz w:val="21"/>
                <w:szCs w:val="21"/>
              </w:rPr>
              <w:t>分布式RAID</w:t>
            </w:r>
            <w:r>
              <w:rPr>
                <w:rFonts w:hint="eastAsia" w:ascii="宋体" w:hAnsi="宋体" w:cs="宋体"/>
                <w:kern w:val="0"/>
                <w:sz w:val="21"/>
                <w:szCs w:val="21"/>
              </w:rPr>
              <w:t>的盘阵组合及实现全局热备盘或热备空间的功能，具备至少2块硬盘损坏时不影响数据的正常存储及不丢失盘阵中的已存储数据的能力。</w:t>
            </w:r>
          </w:p>
        </w:tc>
      </w:tr>
      <w:tr w14:paraId="4E05C306">
        <w:tblPrEx>
          <w:tblCellMar>
            <w:top w:w="0" w:type="dxa"/>
            <w:left w:w="108" w:type="dxa"/>
            <w:bottom w:w="0" w:type="dxa"/>
            <w:right w:w="108" w:type="dxa"/>
          </w:tblCellMar>
        </w:tblPrEx>
        <w:trPr>
          <w:trHeight w:val="540" w:hRule="atLeast"/>
        </w:trPr>
        <w:tc>
          <w:tcPr>
            <w:tcW w:w="1690" w:type="dxa"/>
            <w:vMerge w:val="restart"/>
            <w:tcBorders>
              <w:top w:val="nil"/>
              <w:left w:val="single" w:color="auto" w:sz="4" w:space="0"/>
              <w:bottom w:val="single" w:color="auto" w:sz="4" w:space="0"/>
              <w:right w:val="single" w:color="auto" w:sz="4" w:space="0"/>
            </w:tcBorders>
            <w:vAlign w:val="center"/>
          </w:tcPr>
          <w:p w14:paraId="00A68DE9">
            <w:pPr>
              <w:widowControl/>
              <w:spacing w:line="240" w:lineRule="auto"/>
              <w:ind w:left="0" w:firstLine="0"/>
              <w:jc w:val="center"/>
              <w:rPr>
                <w:rFonts w:ascii="宋体" w:hAnsi="宋体" w:cs="宋体"/>
                <w:kern w:val="0"/>
                <w:sz w:val="21"/>
                <w:szCs w:val="21"/>
              </w:rPr>
            </w:pPr>
            <w:r>
              <w:rPr>
                <w:rFonts w:hint="eastAsia" w:ascii="宋体" w:hAnsi="宋体" w:cs="宋体"/>
                <w:spacing w:val="-6"/>
                <w:sz w:val="21"/>
                <w:szCs w:val="21"/>
              </w:rPr>
              <w:t>关键业务保障</w:t>
            </w:r>
          </w:p>
        </w:tc>
        <w:tc>
          <w:tcPr>
            <w:tcW w:w="6638" w:type="dxa"/>
            <w:tcBorders>
              <w:top w:val="nil"/>
              <w:left w:val="nil"/>
              <w:bottom w:val="single" w:color="auto" w:sz="4" w:space="0"/>
              <w:right w:val="single" w:color="auto" w:sz="4" w:space="0"/>
            </w:tcBorders>
            <w:vAlign w:val="center"/>
          </w:tcPr>
          <w:p w14:paraId="51CE32B8">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支持QoS功能，提供图像化管理界面，够按照IOPS、吞吐量、响应时间等维度进行策略调整。</w:t>
            </w:r>
          </w:p>
        </w:tc>
      </w:tr>
      <w:tr w14:paraId="4B5A106F">
        <w:tblPrEx>
          <w:tblCellMar>
            <w:top w:w="0" w:type="dxa"/>
            <w:left w:w="108" w:type="dxa"/>
            <w:bottom w:w="0" w:type="dxa"/>
            <w:right w:w="108" w:type="dxa"/>
          </w:tblCellMar>
        </w:tblPrEx>
        <w:trPr>
          <w:trHeight w:val="380" w:hRule="atLeast"/>
        </w:trPr>
        <w:tc>
          <w:tcPr>
            <w:tcW w:w="1690" w:type="dxa"/>
            <w:vMerge w:val="continue"/>
            <w:tcBorders>
              <w:left w:val="single" w:color="auto" w:sz="4" w:space="0"/>
              <w:right w:val="single" w:color="auto" w:sz="4" w:space="0"/>
            </w:tcBorders>
            <w:vAlign w:val="center"/>
          </w:tcPr>
          <w:p w14:paraId="6C4B23A2">
            <w:pPr>
              <w:widowControl/>
              <w:spacing w:line="240" w:lineRule="auto"/>
              <w:ind w:left="0" w:firstLine="0"/>
              <w:jc w:val="center"/>
              <w:rPr>
                <w:rFonts w:ascii="宋体" w:hAnsi="宋体" w:cs="宋体"/>
                <w:spacing w:val="-6"/>
                <w:sz w:val="21"/>
                <w:szCs w:val="21"/>
              </w:rPr>
            </w:pPr>
          </w:p>
        </w:tc>
        <w:tc>
          <w:tcPr>
            <w:tcW w:w="6638" w:type="dxa"/>
            <w:tcBorders>
              <w:top w:val="nil"/>
              <w:left w:val="nil"/>
              <w:bottom w:val="single" w:color="auto" w:sz="4" w:space="0"/>
              <w:right w:val="single" w:color="auto" w:sz="4" w:space="0"/>
            </w:tcBorders>
            <w:vAlign w:val="center"/>
          </w:tcPr>
          <w:p w14:paraId="4EA0FE2C">
            <w:pPr>
              <w:widowControl/>
              <w:spacing w:line="240" w:lineRule="auto"/>
              <w:ind w:left="0" w:firstLine="0"/>
              <w:rPr>
                <w:rFonts w:ascii="宋体" w:hAnsi="宋体" w:cs="宋体"/>
                <w:kern w:val="0"/>
                <w:sz w:val="21"/>
                <w:szCs w:val="21"/>
              </w:rPr>
            </w:pPr>
            <w:r>
              <w:rPr>
                <w:rFonts w:hint="eastAsia" w:ascii="宋体" w:hAnsi="宋体" w:cs="宋体"/>
                <w:sz w:val="21"/>
                <w:szCs w:val="21"/>
              </w:rPr>
              <w:t>支持SSD寿命监控技术，提供确定每种用户写趋势最佳预测算法</w:t>
            </w:r>
            <w:r>
              <w:rPr>
                <w:rFonts w:hint="eastAsia" w:ascii="宋体" w:hAnsi="宋体" w:cs="宋体"/>
                <w:kern w:val="0"/>
                <w:sz w:val="21"/>
                <w:szCs w:val="21"/>
              </w:rPr>
              <w:t>。</w:t>
            </w:r>
          </w:p>
        </w:tc>
      </w:tr>
      <w:tr w14:paraId="3A696036">
        <w:tblPrEx>
          <w:tblCellMar>
            <w:top w:w="0" w:type="dxa"/>
            <w:left w:w="108" w:type="dxa"/>
            <w:bottom w:w="0" w:type="dxa"/>
            <w:right w:w="108" w:type="dxa"/>
          </w:tblCellMar>
        </w:tblPrEx>
        <w:trPr>
          <w:trHeight w:val="540" w:hRule="atLeast"/>
        </w:trPr>
        <w:tc>
          <w:tcPr>
            <w:tcW w:w="1690" w:type="dxa"/>
            <w:vMerge w:val="continue"/>
            <w:tcBorders>
              <w:top w:val="nil"/>
              <w:left w:val="single" w:color="auto" w:sz="4" w:space="0"/>
              <w:bottom w:val="single" w:color="auto" w:sz="4" w:space="0"/>
              <w:right w:val="single" w:color="auto" w:sz="4" w:space="0"/>
            </w:tcBorders>
            <w:vAlign w:val="center"/>
          </w:tcPr>
          <w:p w14:paraId="7E75223B">
            <w:pPr>
              <w:widowControl/>
              <w:spacing w:line="240" w:lineRule="auto"/>
              <w:ind w:firstLine="0"/>
              <w:jc w:val="center"/>
              <w:rPr>
                <w:rFonts w:ascii="宋体" w:hAnsi="宋体" w:cs="宋体"/>
                <w:kern w:val="0"/>
                <w:sz w:val="21"/>
                <w:szCs w:val="21"/>
              </w:rPr>
            </w:pPr>
          </w:p>
        </w:tc>
        <w:tc>
          <w:tcPr>
            <w:tcW w:w="6638" w:type="dxa"/>
            <w:tcBorders>
              <w:top w:val="nil"/>
              <w:left w:val="nil"/>
              <w:bottom w:val="single" w:color="auto" w:sz="4" w:space="0"/>
              <w:right w:val="single" w:color="auto" w:sz="4" w:space="0"/>
            </w:tcBorders>
            <w:vAlign w:val="center"/>
          </w:tcPr>
          <w:p w14:paraId="27F076DA">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支持自动精简配置功能，可实现存储资源的按需分配，提高空间利用率。</w:t>
            </w:r>
          </w:p>
        </w:tc>
      </w:tr>
      <w:tr w14:paraId="25E5E119">
        <w:tblPrEx>
          <w:tblCellMar>
            <w:top w:w="0" w:type="dxa"/>
            <w:left w:w="108" w:type="dxa"/>
            <w:bottom w:w="0" w:type="dxa"/>
            <w:right w:w="108" w:type="dxa"/>
          </w:tblCellMar>
        </w:tblPrEx>
        <w:trPr>
          <w:trHeight w:val="385" w:hRule="atLeast"/>
        </w:trPr>
        <w:tc>
          <w:tcPr>
            <w:tcW w:w="1690" w:type="dxa"/>
            <w:vMerge w:val="restart"/>
            <w:tcBorders>
              <w:top w:val="nil"/>
              <w:left w:val="single" w:color="auto" w:sz="4" w:space="0"/>
              <w:right w:val="single" w:color="auto" w:sz="4" w:space="0"/>
            </w:tcBorders>
            <w:vAlign w:val="center"/>
          </w:tcPr>
          <w:p w14:paraId="7694FD24">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本地数据保护</w:t>
            </w:r>
          </w:p>
        </w:tc>
        <w:tc>
          <w:tcPr>
            <w:tcW w:w="6638" w:type="dxa"/>
            <w:tcBorders>
              <w:top w:val="nil"/>
              <w:left w:val="nil"/>
              <w:bottom w:val="single" w:color="auto" w:sz="4" w:space="0"/>
              <w:right w:val="single" w:color="auto" w:sz="4" w:space="0"/>
            </w:tcBorders>
            <w:vAlign w:val="center"/>
          </w:tcPr>
          <w:p w14:paraId="29866ADA">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支持数据快照功能，恢复某个时间点的快照，其他时间点快照不丢失。</w:t>
            </w:r>
          </w:p>
        </w:tc>
      </w:tr>
      <w:tr w14:paraId="0388E8B9">
        <w:tblPrEx>
          <w:tblCellMar>
            <w:top w:w="0" w:type="dxa"/>
            <w:left w:w="108" w:type="dxa"/>
            <w:bottom w:w="0" w:type="dxa"/>
            <w:right w:w="108" w:type="dxa"/>
          </w:tblCellMar>
        </w:tblPrEx>
        <w:trPr>
          <w:trHeight w:val="540" w:hRule="atLeast"/>
        </w:trPr>
        <w:tc>
          <w:tcPr>
            <w:tcW w:w="1690" w:type="dxa"/>
            <w:vMerge w:val="continue"/>
            <w:tcBorders>
              <w:left w:val="single" w:color="auto" w:sz="4" w:space="0"/>
              <w:bottom w:val="single" w:color="auto" w:sz="4" w:space="0"/>
              <w:right w:val="single" w:color="auto" w:sz="4" w:space="0"/>
            </w:tcBorders>
            <w:vAlign w:val="center"/>
          </w:tcPr>
          <w:p w14:paraId="5F96C662">
            <w:pPr>
              <w:widowControl/>
              <w:spacing w:line="240" w:lineRule="auto"/>
              <w:ind w:left="0" w:firstLine="0"/>
              <w:jc w:val="center"/>
              <w:rPr>
                <w:rFonts w:ascii="宋体" w:hAnsi="宋体" w:cs="宋体"/>
                <w:kern w:val="0"/>
                <w:sz w:val="21"/>
                <w:szCs w:val="21"/>
              </w:rPr>
            </w:pPr>
          </w:p>
        </w:tc>
        <w:tc>
          <w:tcPr>
            <w:tcW w:w="6638" w:type="dxa"/>
            <w:tcBorders>
              <w:top w:val="nil"/>
              <w:left w:val="nil"/>
              <w:bottom w:val="single" w:color="auto" w:sz="4" w:space="0"/>
              <w:right w:val="single" w:color="auto" w:sz="4" w:space="0"/>
            </w:tcBorders>
            <w:vAlign w:val="center"/>
          </w:tcPr>
          <w:p w14:paraId="3858FBE5">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配置全容量自动精简克隆、卷备份、卷镜像、克隆、快照软件功能授权许可。后续扩容硬盘时无需额外购买授权许可。</w:t>
            </w:r>
          </w:p>
        </w:tc>
      </w:tr>
      <w:tr w14:paraId="0EBAE1E8">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4D593EA9">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多路径软件及其它软件</w:t>
            </w:r>
          </w:p>
        </w:tc>
        <w:tc>
          <w:tcPr>
            <w:tcW w:w="6638" w:type="dxa"/>
            <w:tcBorders>
              <w:top w:val="nil"/>
              <w:left w:val="nil"/>
              <w:bottom w:val="single" w:color="auto" w:sz="4" w:space="0"/>
              <w:right w:val="single" w:color="auto" w:sz="4" w:space="0"/>
            </w:tcBorders>
            <w:vAlign w:val="center"/>
          </w:tcPr>
          <w:p w14:paraId="782CF9F5">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配置多路径、Qos、同步、异步周期和具有变更卷的异步复制功能。</w:t>
            </w:r>
          </w:p>
        </w:tc>
      </w:tr>
      <w:tr w14:paraId="67E5F475">
        <w:tblPrEx>
          <w:tblCellMar>
            <w:top w:w="0" w:type="dxa"/>
            <w:left w:w="108" w:type="dxa"/>
            <w:bottom w:w="0" w:type="dxa"/>
            <w:right w:w="108" w:type="dxa"/>
          </w:tblCellMar>
        </w:tblPrEx>
        <w:trPr>
          <w:trHeight w:val="540" w:hRule="atLeast"/>
        </w:trPr>
        <w:tc>
          <w:tcPr>
            <w:tcW w:w="1690" w:type="dxa"/>
            <w:tcBorders>
              <w:top w:val="nil"/>
              <w:left w:val="single" w:color="auto" w:sz="4" w:space="0"/>
              <w:bottom w:val="single" w:color="auto" w:sz="4" w:space="0"/>
              <w:right w:val="single" w:color="auto" w:sz="4" w:space="0"/>
            </w:tcBorders>
            <w:vAlign w:val="center"/>
          </w:tcPr>
          <w:p w14:paraId="39F36088">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管理要求</w:t>
            </w:r>
          </w:p>
        </w:tc>
        <w:tc>
          <w:tcPr>
            <w:tcW w:w="6638" w:type="dxa"/>
            <w:tcBorders>
              <w:top w:val="nil"/>
              <w:left w:val="nil"/>
              <w:bottom w:val="single" w:color="auto" w:sz="4" w:space="0"/>
              <w:right w:val="single" w:color="auto" w:sz="4" w:space="0"/>
            </w:tcBorders>
            <w:vAlign w:val="center"/>
          </w:tcPr>
          <w:p w14:paraId="7D619CEA">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配置存储管理软件，提供图形化集中管理界面，具有性能管理及优化功能，支持阵列总容量和可用容量统计、设备容量属性显示、阵列健康告警显示；支持对指定的对象进行定时快照创建。</w:t>
            </w:r>
          </w:p>
        </w:tc>
      </w:tr>
    </w:tbl>
    <w:p w14:paraId="57B3F13F"/>
    <w:p w14:paraId="74C727A7">
      <w:pPr>
        <w:pStyle w:val="5"/>
        <w:rPr>
          <w:rFonts w:hAnsi="宋体"/>
          <w:bCs w:val="0"/>
          <w:color w:val="auto"/>
          <w:szCs w:val="21"/>
        </w:rPr>
      </w:pPr>
      <w:r>
        <w:rPr>
          <w:rFonts w:hint="eastAsia" w:hAnsi="宋体"/>
          <w:bCs w:val="0"/>
          <w:color w:val="auto"/>
          <w:szCs w:val="21"/>
          <w:lang w:val="en-US"/>
        </w:rPr>
        <w:t>备份管理服务器</w:t>
      </w:r>
    </w:p>
    <w:tbl>
      <w:tblPr>
        <w:tblStyle w:val="87"/>
        <w:tblW w:w="8340" w:type="dxa"/>
        <w:tblInd w:w="3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04"/>
        <w:gridCol w:w="6636"/>
      </w:tblGrid>
      <w:tr w14:paraId="18D251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704" w:type="dxa"/>
            <w:vAlign w:val="center"/>
          </w:tcPr>
          <w:p w14:paraId="4F571D98">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指标项</w:t>
            </w:r>
          </w:p>
        </w:tc>
        <w:tc>
          <w:tcPr>
            <w:tcW w:w="6636" w:type="dxa"/>
            <w:vAlign w:val="center"/>
          </w:tcPr>
          <w:p w14:paraId="3E4992CC">
            <w:pPr>
              <w:widowControl/>
              <w:spacing w:line="240" w:lineRule="auto"/>
              <w:ind w:left="0" w:firstLine="0"/>
              <w:jc w:val="both"/>
              <w:rPr>
                <w:rFonts w:ascii="宋体" w:hAnsi="宋体" w:cs="宋体"/>
                <w:kern w:val="0"/>
                <w:sz w:val="21"/>
                <w:szCs w:val="21"/>
              </w:rPr>
            </w:pPr>
            <w:r>
              <w:rPr>
                <w:rFonts w:hint="eastAsia" w:ascii="宋体" w:hAnsi="宋体" w:cs="宋体"/>
                <w:kern w:val="0"/>
                <w:sz w:val="21"/>
                <w:szCs w:val="21"/>
              </w:rPr>
              <w:t>技术规格要求</w:t>
            </w:r>
          </w:p>
        </w:tc>
      </w:tr>
      <w:tr w14:paraId="443C55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1704" w:type="dxa"/>
            <w:vAlign w:val="center"/>
          </w:tcPr>
          <w:p w14:paraId="1030FC9A">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处理器</w:t>
            </w:r>
          </w:p>
        </w:tc>
        <w:tc>
          <w:tcPr>
            <w:tcW w:w="6636" w:type="dxa"/>
            <w:vAlign w:val="center"/>
          </w:tcPr>
          <w:p w14:paraId="3A5B2DE6">
            <w:pPr>
              <w:widowControl/>
              <w:spacing w:line="240" w:lineRule="auto"/>
              <w:ind w:left="0" w:firstLine="0"/>
              <w:rPr>
                <w:rFonts w:ascii="宋体" w:hAnsi="宋体" w:cs="宋体"/>
                <w:kern w:val="0"/>
                <w:sz w:val="21"/>
                <w:szCs w:val="21"/>
              </w:rPr>
            </w:pPr>
            <w:r>
              <w:rPr>
                <w:rFonts w:hint="eastAsia" w:ascii="宋体" w:hAnsi="宋体" w:cs="宋体"/>
                <w:spacing w:val="-6"/>
                <w:sz w:val="21"/>
                <w:szCs w:val="21"/>
              </w:rPr>
              <w:t>配置2颗CPU处理器，可配置国产ARM或C86架构（单颗处理器ARM架构主频:≥2.2GHz，核数≥64核；单颗处理器C86架构主频≥2.2GHz ，核数≥32核）。</w:t>
            </w:r>
          </w:p>
        </w:tc>
      </w:tr>
      <w:tr w14:paraId="68B190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704" w:type="dxa"/>
            <w:vMerge w:val="restart"/>
            <w:tcBorders>
              <w:bottom w:val="nil"/>
            </w:tcBorders>
            <w:vAlign w:val="center"/>
          </w:tcPr>
          <w:p w14:paraId="3252E4F7">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内存</w:t>
            </w:r>
          </w:p>
        </w:tc>
        <w:tc>
          <w:tcPr>
            <w:tcW w:w="6636" w:type="dxa"/>
            <w:vAlign w:val="center"/>
          </w:tcPr>
          <w:p w14:paraId="2EAA09B0">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至少配置32个内存插槽。</w:t>
            </w:r>
          </w:p>
        </w:tc>
      </w:tr>
      <w:tr w14:paraId="4E292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704" w:type="dxa"/>
            <w:vMerge w:val="continue"/>
            <w:tcBorders>
              <w:top w:val="nil"/>
            </w:tcBorders>
            <w:vAlign w:val="center"/>
          </w:tcPr>
          <w:p w14:paraId="3DB7CF14">
            <w:pPr>
              <w:widowControl/>
              <w:spacing w:line="240" w:lineRule="auto"/>
              <w:ind w:left="0" w:firstLine="0"/>
              <w:jc w:val="center"/>
              <w:rPr>
                <w:rFonts w:ascii="宋体" w:hAnsi="宋体" w:cs="宋体"/>
                <w:kern w:val="0"/>
                <w:sz w:val="21"/>
                <w:szCs w:val="21"/>
              </w:rPr>
            </w:pPr>
          </w:p>
        </w:tc>
        <w:tc>
          <w:tcPr>
            <w:tcW w:w="6636" w:type="dxa"/>
            <w:vAlign w:val="center"/>
          </w:tcPr>
          <w:p w14:paraId="4FAD9259">
            <w:pPr>
              <w:widowControl/>
              <w:spacing w:line="240" w:lineRule="auto"/>
              <w:ind w:left="0" w:firstLine="0"/>
              <w:rPr>
                <w:rFonts w:ascii="宋体" w:hAnsi="宋体" w:cs="宋体"/>
                <w:kern w:val="0"/>
                <w:sz w:val="21"/>
                <w:szCs w:val="21"/>
              </w:rPr>
            </w:pPr>
            <w:r>
              <w:rPr>
                <w:rFonts w:hint="eastAsia" w:ascii="宋体" w:hAnsi="宋体"/>
                <w:sz w:val="21"/>
                <w:szCs w:val="21"/>
              </w:rPr>
              <w:t>内存配置容量：≥</w:t>
            </w:r>
            <w:r>
              <w:rPr>
                <w:rFonts w:ascii="宋体" w:hAnsi="宋体"/>
                <w:sz w:val="21"/>
                <w:szCs w:val="21"/>
              </w:rPr>
              <w:t>128</w:t>
            </w:r>
            <w:r>
              <w:rPr>
                <w:rFonts w:hint="eastAsia" w:ascii="宋体" w:hAnsi="宋体"/>
                <w:sz w:val="21"/>
                <w:szCs w:val="21"/>
              </w:rPr>
              <w:t>GB 3200MHz及以上 DDR4内存。支持内存纠错等高级功能。</w:t>
            </w:r>
          </w:p>
        </w:tc>
      </w:tr>
      <w:tr w14:paraId="1BF10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704" w:type="dxa"/>
            <w:vMerge w:val="restart"/>
            <w:tcBorders>
              <w:bottom w:val="nil"/>
            </w:tcBorders>
            <w:vAlign w:val="center"/>
          </w:tcPr>
          <w:p w14:paraId="5FD41387">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存储</w:t>
            </w:r>
          </w:p>
        </w:tc>
        <w:tc>
          <w:tcPr>
            <w:tcW w:w="6636" w:type="dxa"/>
            <w:vAlign w:val="center"/>
          </w:tcPr>
          <w:p w14:paraId="7CEA4CA5">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备份容量满足各系统的实际备份需求，14块12T 企业级硬盘，有效备份容量≥100T（整机提供硬盘插槽数量≥16，提供≥</w:t>
            </w:r>
            <w:r>
              <w:rPr>
                <w:rFonts w:ascii="宋体" w:hAnsi="宋体" w:cs="宋体"/>
                <w:kern w:val="0"/>
                <w:sz w:val="21"/>
                <w:szCs w:val="21"/>
              </w:rPr>
              <w:t>160T</w:t>
            </w:r>
            <w:r>
              <w:rPr>
                <w:rFonts w:hint="eastAsia" w:ascii="宋体" w:hAnsi="宋体" w:cs="宋体"/>
                <w:kern w:val="0"/>
                <w:sz w:val="21"/>
                <w:szCs w:val="21"/>
              </w:rPr>
              <w:t>容量授权）。</w:t>
            </w:r>
          </w:p>
        </w:tc>
      </w:tr>
      <w:tr w14:paraId="032425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704" w:type="dxa"/>
            <w:vMerge w:val="continue"/>
            <w:vAlign w:val="center"/>
          </w:tcPr>
          <w:p w14:paraId="66726A84">
            <w:pPr>
              <w:widowControl/>
              <w:spacing w:line="240" w:lineRule="auto"/>
              <w:ind w:left="0" w:firstLine="0"/>
              <w:jc w:val="center"/>
              <w:rPr>
                <w:rFonts w:ascii="宋体" w:hAnsi="宋体" w:cs="宋体"/>
                <w:kern w:val="0"/>
                <w:sz w:val="21"/>
                <w:szCs w:val="21"/>
              </w:rPr>
            </w:pPr>
          </w:p>
        </w:tc>
        <w:tc>
          <w:tcPr>
            <w:tcW w:w="6636" w:type="dxa"/>
            <w:vAlign w:val="center"/>
          </w:tcPr>
          <w:p w14:paraId="74596266">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w:t>
            </w:r>
            <w:r>
              <w:rPr>
                <w:rFonts w:hint="eastAsia" w:ascii="宋体" w:hAnsi="宋体"/>
                <w:sz w:val="21"/>
                <w:szCs w:val="21"/>
              </w:rPr>
              <w:t>2块≥480GB企业级固态硬盘作为系统盘，</w:t>
            </w:r>
            <w:r>
              <w:rPr>
                <w:rFonts w:hint="eastAsia" w:ascii="宋体" w:hAnsi="宋体" w:cs="宋体"/>
                <w:kern w:val="0"/>
                <w:sz w:val="21"/>
                <w:szCs w:val="21"/>
              </w:rPr>
              <w:t>2GB缓存独立RAID卡，支持RAID0、RAID1、RAID5、RAID6、RAID50、RAID60的盘阵组合及实现全局热备盘的功能，具备至少2块硬盘损坏时不影响数据的正常存储及不丢失盘阵中的已存储数据的能力。</w:t>
            </w:r>
          </w:p>
        </w:tc>
      </w:tr>
      <w:tr w14:paraId="14338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704" w:type="dxa"/>
            <w:vAlign w:val="center"/>
          </w:tcPr>
          <w:p w14:paraId="68D9174A">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网口</w:t>
            </w:r>
          </w:p>
        </w:tc>
        <w:tc>
          <w:tcPr>
            <w:tcW w:w="6636" w:type="dxa"/>
            <w:vAlign w:val="center"/>
          </w:tcPr>
          <w:p w14:paraId="4E5E8E40">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配置≥6个10GE光口（含多模光模块），≥2个1GE电口。</w:t>
            </w:r>
          </w:p>
        </w:tc>
      </w:tr>
      <w:tr w14:paraId="47898E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704" w:type="dxa"/>
            <w:vAlign w:val="center"/>
          </w:tcPr>
          <w:p w14:paraId="052D8195">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I/O扩展</w:t>
            </w:r>
          </w:p>
        </w:tc>
        <w:tc>
          <w:tcPr>
            <w:tcW w:w="6636" w:type="dxa"/>
            <w:vAlign w:val="center"/>
          </w:tcPr>
          <w:p w14:paraId="1CF01831">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配置PCI-EI/O插槽总数：≥8个。</w:t>
            </w:r>
          </w:p>
        </w:tc>
      </w:tr>
      <w:tr w14:paraId="5F4AF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704" w:type="dxa"/>
            <w:vAlign w:val="center"/>
          </w:tcPr>
          <w:p w14:paraId="6BCD078C">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电源</w:t>
            </w:r>
          </w:p>
        </w:tc>
        <w:tc>
          <w:tcPr>
            <w:tcW w:w="6636" w:type="dxa"/>
            <w:vAlign w:val="center"/>
          </w:tcPr>
          <w:p w14:paraId="7793D23C">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配置热插拔冗余电源，支持1+1冗余。</w:t>
            </w:r>
          </w:p>
        </w:tc>
      </w:tr>
      <w:tr w14:paraId="1998D8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704" w:type="dxa"/>
            <w:vAlign w:val="center"/>
          </w:tcPr>
          <w:p w14:paraId="1013DC0A">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风扇</w:t>
            </w:r>
          </w:p>
        </w:tc>
        <w:tc>
          <w:tcPr>
            <w:tcW w:w="6636" w:type="dxa"/>
            <w:vAlign w:val="center"/>
          </w:tcPr>
          <w:p w14:paraId="33C70891">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配置热插拔冗余风扇。</w:t>
            </w:r>
          </w:p>
        </w:tc>
      </w:tr>
      <w:tr w14:paraId="0258A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60169E0B">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管理维护</w:t>
            </w:r>
          </w:p>
        </w:tc>
        <w:tc>
          <w:tcPr>
            <w:tcW w:w="6636" w:type="dxa"/>
            <w:vAlign w:val="center"/>
          </w:tcPr>
          <w:p w14:paraId="65A59979">
            <w:pPr>
              <w:widowControl/>
              <w:spacing w:line="240" w:lineRule="auto"/>
              <w:ind w:left="0" w:firstLine="0"/>
              <w:rPr>
                <w:rFonts w:ascii="宋体" w:hAnsi="宋体" w:cs="宋体"/>
                <w:kern w:val="0"/>
                <w:sz w:val="21"/>
                <w:szCs w:val="21"/>
              </w:rPr>
            </w:pPr>
            <w:r>
              <w:rPr>
                <w:rFonts w:hint="eastAsia" w:ascii="宋体" w:hAnsi="宋体" w:cs="宋体"/>
                <w:kern w:val="0"/>
                <w:sz w:val="21"/>
                <w:szCs w:val="21"/>
              </w:rPr>
              <w:t>配置≥1Gb独立的远程管理控制端口，配置虚拟KVM功能, 可实现与操作系统无关的远程对服务器的完全控制，包括远程的开机、关机、重启、更新固件等操作，提供服务器日志，能够提供电源监控，可支持动态功率封顶。</w:t>
            </w:r>
          </w:p>
        </w:tc>
      </w:tr>
      <w:tr w14:paraId="1E252E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634E73E0">
            <w:pPr>
              <w:widowControl/>
              <w:spacing w:line="240" w:lineRule="auto"/>
              <w:ind w:left="0" w:firstLine="0"/>
              <w:jc w:val="center"/>
              <w:rPr>
                <w:rFonts w:ascii="宋体" w:hAnsi="宋体" w:cs="宋体"/>
                <w:kern w:val="0"/>
                <w:sz w:val="21"/>
                <w:szCs w:val="21"/>
              </w:rPr>
            </w:pPr>
            <w:r>
              <w:rPr>
                <w:rFonts w:hint="eastAsia" w:ascii="宋体" w:hAnsi="宋体" w:cs="宋体"/>
                <w:kern w:val="0"/>
                <w:sz w:val="21"/>
                <w:szCs w:val="21"/>
              </w:rPr>
              <w:t>备份软件要求</w:t>
            </w:r>
          </w:p>
        </w:tc>
        <w:tc>
          <w:tcPr>
            <w:tcW w:w="6636" w:type="dxa"/>
            <w:vAlign w:val="center"/>
          </w:tcPr>
          <w:p w14:paraId="03E3B9CC">
            <w:pPr>
              <w:widowControl/>
              <w:spacing w:line="240" w:lineRule="auto"/>
              <w:ind w:left="0" w:firstLine="0"/>
              <w:rPr>
                <w:rFonts w:ascii="宋体" w:hAnsi="宋体" w:cs="宋体"/>
                <w:kern w:val="0"/>
                <w:sz w:val="21"/>
                <w:szCs w:val="21"/>
              </w:rPr>
            </w:pPr>
            <w:r>
              <w:rPr>
                <w:rFonts w:hint="eastAsia" w:ascii="宋体" w:hAnsi="宋体"/>
                <w:sz w:val="21"/>
                <w:szCs w:val="21"/>
              </w:rPr>
              <w:t>针对各重要业务系统（包括操作系统、文件、数据库、虚拟机）进行定时备份操作</w:t>
            </w:r>
            <w:r>
              <w:rPr>
                <w:rFonts w:hint="eastAsia" w:ascii="宋体" w:hAnsi="宋体" w:cs="宋体"/>
                <w:kern w:val="0"/>
                <w:sz w:val="21"/>
                <w:szCs w:val="21"/>
              </w:rPr>
              <w:t>，备份系统应采用成熟、稳定、易扩展的方案构建，对于核心业务系统应做到每周一次全量备份，每天一次增量备份，备份系统容量应满足各个业务系统的要求。通过备份系统的建设，将实现业务数据的高可用性以及数据资产的安全性。</w:t>
            </w:r>
          </w:p>
        </w:tc>
      </w:tr>
      <w:tr w14:paraId="7BABF0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1C459CBC">
            <w:pPr>
              <w:widowControl/>
              <w:spacing w:line="240" w:lineRule="auto"/>
              <w:ind w:left="0" w:firstLine="0"/>
              <w:jc w:val="center"/>
              <w:rPr>
                <w:rFonts w:ascii="宋体" w:hAnsi="宋体"/>
                <w:sz w:val="21"/>
                <w:szCs w:val="21"/>
              </w:rPr>
            </w:pPr>
            <w:r>
              <w:rPr>
                <w:rFonts w:hint="eastAsia" w:ascii="宋体" w:hAnsi="宋体"/>
                <w:sz w:val="21"/>
                <w:szCs w:val="21"/>
              </w:rPr>
              <w:t>备份兼容性</w:t>
            </w:r>
          </w:p>
        </w:tc>
        <w:tc>
          <w:tcPr>
            <w:tcW w:w="6636" w:type="dxa"/>
            <w:vAlign w:val="center"/>
          </w:tcPr>
          <w:p w14:paraId="0467934D">
            <w:pPr>
              <w:widowControl/>
              <w:spacing w:line="240" w:lineRule="auto"/>
              <w:ind w:left="0" w:firstLine="0"/>
              <w:rPr>
                <w:rFonts w:ascii="宋体" w:hAnsi="宋体"/>
                <w:sz w:val="21"/>
                <w:szCs w:val="21"/>
              </w:rPr>
            </w:pPr>
            <w:r>
              <w:rPr>
                <w:rFonts w:hint="eastAsia" w:ascii="宋体" w:hAnsi="宋体"/>
                <w:sz w:val="21"/>
                <w:szCs w:val="21"/>
              </w:rPr>
              <w:t>与新建</w:t>
            </w:r>
            <w:r>
              <w:rPr>
                <w:rFonts w:hint="eastAsia" w:ascii="宋体" w:hAnsi="宋体"/>
                <w:sz w:val="21"/>
                <w:szCs w:val="21"/>
                <w:lang w:eastAsia="zh-CN"/>
              </w:rPr>
              <w:t>管理云平台</w:t>
            </w:r>
            <w:r>
              <w:rPr>
                <w:rFonts w:hint="eastAsia" w:ascii="宋体" w:hAnsi="宋体"/>
                <w:sz w:val="21"/>
                <w:szCs w:val="21"/>
              </w:rPr>
              <w:t>软件互相兼容，以支持对</w:t>
            </w:r>
            <w:r>
              <w:rPr>
                <w:rFonts w:hint="eastAsia" w:ascii="宋体" w:hAnsi="宋体"/>
                <w:sz w:val="21"/>
                <w:szCs w:val="21"/>
                <w:lang w:eastAsia="zh-CN"/>
              </w:rPr>
              <w:t>管理云平台</w:t>
            </w:r>
            <w:r>
              <w:rPr>
                <w:rFonts w:hint="eastAsia" w:ascii="宋体" w:hAnsi="宋体"/>
                <w:sz w:val="21"/>
                <w:szCs w:val="21"/>
              </w:rPr>
              <w:t>系统上的任意虚拟机进行无代理备份（无代理指不需要在虚拟机内的操作系统安装备份客户端）；支持从虚拟机整机备份中恢复全部文件，或者从备份文件中恢复用户指定文件，提高备份与恢复效率。</w:t>
            </w:r>
          </w:p>
          <w:p w14:paraId="6A796DF7">
            <w:pPr>
              <w:widowControl/>
              <w:spacing w:line="240" w:lineRule="auto"/>
              <w:ind w:left="0" w:firstLine="0"/>
              <w:rPr>
                <w:rFonts w:ascii="宋体" w:hAnsi="宋体"/>
                <w:sz w:val="21"/>
                <w:szCs w:val="21"/>
              </w:rPr>
            </w:pPr>
            <w:r>
              <w:rPr>
                <w:rFonts w:hint="eastAsia" w:ascii="宋体" w:hAnsi="宋体"/>
                <w:sz w:val="21"/>
                <w:szCs w:val="21"/>
              </w:rPr>
              <w:t>支持对全部国产安全可靠操作系统和全部国产安全可靠数据库的全量、增量备份以及数据库在线/归档日志备份，备份过程中不影响对操作系统与数据库的正常使用。</w:t>
            </w:r>
          </w:p>
        </w:tc>
      </w:tr>
      <w:tr w14:paraId="152522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61F51D55">
            <w:pPr>
              <w:widowControl/>
              <w:spacing w:line="240" w:lineRule="auto"/>
              <w:ind w:left="0" w:firstLine="0"/>
              <w:jc w:val="center"/>
              <w:rPr>
                <w:rFonts w:ascii="宋体" w:hAnsi="宋体"/>
                <w:sz w:val="21"/>
                <w:szCs w:val="21"/>
              </w:rPr>
            </w:pPr>
            <w:r>
              <w:rPr>
                <w:rFonts w:hint="eastAsia" w:ascii="宋体" w:hAnsi="宋体"/>
                <w:sz w:val="21"/>
                <w:szCs w:val="21"/>
              </w:rPr>
              <w:t>备份数据重删</w:t>
            </w:r>
          </w:p>
        </w:tc>
        <w:tc>
          <w:tcPr>
            <w:tcW w:w="6636" w:type="dxa"/>
            <w:vAlign w:val="center"/>
          </w:tcPr>
          <w:p w14:paraId="4355D8F1">
            <w:pPr>
              <w:widowControl/>
              <w:spacing w:line="240" w:lineRule="auto"/>
              <w:ind w:left="0" w:firstLine="0"/>
              <w:rPr>
                <w:rFonts w:ascii="宋体" w:hAnsi="宋体"/>
                <w:sz w:val="21"/>
                <w:szCs w:val="21"/>
              </w:rPr>
            </w:pPr>
            <w:r>
              <w:rPr>
                <w:rFonts w:hint="eastAsia" w:ascii="宋体" w:hAnsi="宋体"/>
                <w:sz w:val="21"/>
                <w:szCs w:val="21"/>
              </w:rPr>
              <w:t>配置数据块级的备份数据重复数据删除功能，提供长期保留功能策略，提供按每周、每月或每年自动设置保留点，实现长期数据保留和分级数据管理。</w:t>
            </w:r>
          </w:p>
        </w:tc>
      </w:tr>
      <w:tr w14:paraId="63373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3D77BDA1">
            <w:pPr>
              <w:widowControl/>
              <w:spacing w:line="240" w:lineRule="auto"/>
              <w:ind w:left="0" w:firstLine="0"/>
              <w:rPr>
                <w:rFonts w:ascii="宋体" w:hAnsi="宋体"/>
                <w:sz w:val="21"/>
                <w:szCs w:val="21"/>
              </w:rPr>
            </w:pPr>
            <w:r>
              <w:rPr>
                <w:rFonts w:hint="eastAsia" w:ascii="宋体" w:hAnsi="宋体"/>
                <w:sz w:val="21"/>
                <w:szCs w:val="21"/>
              </w:rPr>
              <w:t>业务系统快速恢复</w:t>
            </w:r>
          </w:p>
        </w:tc>
        <w:tc>
          <w:tcPr>
            <w:tcW w:w="6636" w:type="dxa"/>
            <w:vAlign w:val="center"/>
          </w:tcPr>
          <w:p w14:paraId="54F1FC8F">
            <w:pPr>
              <w:widowControl/>
              <w:spacing w:line="240" w:lineRule="auto"/>
              <w:ind w:left="0" w:firstLine="0"/>
              <w:rPr>
                <w:rFonts w:ascii="宋体" w:hAnsi="宋体"/>
                <w:sz w:val="21"/>
                <w:szCs w:val="21"/>
              </w:rPr>
            </w:pPr>
            <w:r>
              <w:rPr>
                <w:rFonts w:hint="eastAsia" w:ascii="宋体" w:hAnsi="宋体"/>
                <w:sz w:val="21"/>
                <w:szCs w:val="21"/>
              </w:rPr>
              <w:t>支持从备份文件中进行快速数据恢复，支持异机恢复；同时快速恢复的虚拟机提供在线迁移功能。</w:t>
            </w:r>
          </w:p>
        </w:tc>
      </w:tr>
      <w:tr w14:paraId="7E7386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38C0B568">
            <w:pPr>
              <w:widowControl/>
              <w:spacing w:line="240" w:lineRule="auto"/>
              <w:ind w:left="0" w:firstLine="0"/>
              <w:jc w:val="center"/>
              <w:rPr>
                <w:rFonts w:ascii="宋体" w:hAnsi="宋体"/>
                <w:sz w:val="21"/>
                <w:szCs w:val="21"/>
              </w:rPr>
            </w:pPr>
            <w:r>
              <w:rPr>
                <w:rFonts w:hint="eastAsia" w:ascii="宋体" w:hAnsi="宋体"/>
                <w:sz w:val="21"/>
                <w:szCs w:val="21"/>
              </w:rPr>
              <w:t>恢复演练</w:t>
            </w:r>
          </w:p>
        </w:tc>
        <w:tc>
          <w:tcPr>
            <w:tcW w:w="6636" w:type="dxa"/>
            <w:vAlign w:val="center"/>
          </w:tcPr>
          <w:p w14:paraId="528F1D6B">
            <w:pPr>
              <w:widowControl/>
              <w:spacing w:line="240" w:lineRule="auto"/>
              <w:ind w:left="0" w:firstLine="0"/>
              <w:rPr>
                <w:rFonts w:ascii="宋体" w:hAnsi="宋体"/>
                <w:sz w:val="21"/>
                <w:szCs w:val="21"/>
              </w:rPr>
            </w:pPr>
            <w:r>
              <w:rPr>
                <w:rFonts w:hint="eastAsia" w:ascii="宋体" w:hAnsi="宋体"/>
                <w:sz w:val="21"/>
                <w:szCs w:val="21"/>
              </w:rPr>
              <w:t>提供对虚拟机、数据库的备份数据进行定时容灾演练功能，以此检验备份数据的可恢复性。</w:t>
            </w:r>
          </w:p>
        </w:tc>
      </w:tr>
      <w:tr w14:paraId="2297CA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704" w:type="dxa"/>
            <w:vAlign w:val="center"/>
          </w:tcPr>
          <w:p w14:paraId="515CC47E">
            <w:pPr>
              <w:widowControl/>
              <w:spacing w:line="240" w:lineRule="auto"/>
              <w:ind w:left="0" w:firstLine="0"/>
              <w:jc w:val="center"/>
              <w:rPr>
                <w:rFonts w:ascii="宋体" w:hAnsi="宋体"/>
                <w:sz w:val="21"/>
                <w:szCs w:val="21"/>
              </w:rPr>
            </w:pPr>
            <w:r>
              <w:rPr>
                <w:rFonts w:hint="eastAsia" w:ascii="宋体" w:hAnsi="宋体"/>
                <w:sz w:val="21"/>
                <w:szCs w:val="21"/>
              </w:rPr>
              <w:t>备份管理</w:t>
            </w:r>
          </w:p>
        </w:tc>
        <w:tc>
          <w:tcPr>
            <w:tcW w:w="6636" w:type="dxa"/>
            <w:vAlign w:val="center"/>
          </w:tcPr>
          <w:p w14:paraId="1633612B">
            <w:pPr>
              <w:widowControl/>
              <w:spacing w:line="240" w:lineRule="auto"/>
              <w:ind w:left="0" w:firstLine="0"/>
              <w:rPr>
                <w:rFonts w:ascii="宋体" w:hAnsi="宋体"/>
                <w:sz w:val="21"/>
                <w:szCs w:val="21"/>
              </w:rPr>
            </w:pPr>
            <w:r>
              <w:rPr>
                <w:rFonts w:hint="eastAsia" w:ascii="宋体" w:hAnsi="宋体"/>
                <w:sz w:val="21"/>
                <w:szCs w:val="21"/>
              </w:rPr>
              <w:t>配置备份管理系统，可备份系统的运行状态。支持当前任务实时查看、当前备份数据实时查看，可动态展示各个模块备份架构。</w:t>
            </w:r>
          </w:p>
        </w:tc>
      </w:tr>
    </w:tbl>
    <w:p w14:paraId="2715D343">
      <w:pPr>
        <w:widowControl/>
        <w:adjustRightInd w:val="0"/>
        <w:snapToGrid w:val="0"/>
        <w:ind w:left="0" w:firstLine="0"/>
        <w:jc w:val="both"/>
        <w:rPr>
          <w:rFonts w:ascii="宋体" w:hAnsi="宋体"/>
          <w:sz w:val="21"/>
          <w:szCs w:val="21"/>
        </w:rPr>
      </w:pPr>
    </w:p>
    <w:p w14:paraId="37CD3BE1">
      <w:pPr>
        <w:pStyle w:val="5"/>
        <w:rPr>
          <w:rFonts w:hAnsi="宋体"/>
          <w:bCs w:val="0"/>
          <w:color w:val="auto"/>
          <w:szCs w:val="21"/>
        </w:rPr>
      </w:pPr>
      <w:r>
        <w:rPr>
          <w:rFonts w:hint="eastAsia" w:hAnsi="宋体"/>
          <w:bCs w:val="0"/>
          <w:color w:val="auto"/>
          <w:szCs w:val="21"/>
          <w:lang w:val="en-US"/>
        </w:rPr>
        <w:t>业务交换机</w:t>
      </w:r>
    </w:p>
    <w:tbl>
      <w:tblPr>
        <w:tblStyle w:val="87"/>
        <w:tblW w:w="8352"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702"/>
        <w:gridCol w:w="6650"/>
      </w:tblGrid>
      <w:tr w14:paraId="46E5E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02" w:type="dxa"/>
            <w:tcBorders>
              <w:top w:val="single" w:color="auto" w:sz="4" w:space="0"/>
              <w:left w:val="single" w:color="auto" w:sz="4" w:space="0"/>
              <w:bottom w:val="single" w:color="auto" w:sz="4" w:space="0"/>
              <w:right w:val="single" w:color="auto" w:sz="4" w:space="0"/>
            </w:tcBorders>
            <w:vAlign w:val="center"/>
          </w:tcPr>
          <w:p w14:paraId="19309408">
            <w:pPr>
              <w:pStyle w:val="1306"/>
              <w:ind w:left="0" w:firstLine="0"/>
              <w:rPr>
                <w:rFonts w:ascii="宋体" w:hAnsi="宋体"/>
                <w:sz w:val="21"/>
                <w:szCs w:val="21"/>
              </w:rPr>
            </w:pPr>
            <w:r>
              <w:rPr>
                <w:rFonts w:hint="eastAsia" w:ascii="宋体" w:hAnsi="宋体"/>
                <w:sz w:val="21"/>
                <w:szCs w:val="21"/>
              </w:rPr>
              <w:t>指标项</w:t>
            </w:r>
          </w:p>
        </w:tc>
        <w:tc>
          <w:tcPr>
            <w:tcW w:w="6650" w:type="dxa"/>
            <w:tcBorders>
              <w:top w:val="single" w:color="auto" w:sz="4" w:space="0"/>
              <w:left w:val="single" w:color="auto" w:sz="4" w:space="0"/>
              <w:bottom w:val="single" w:color="auto" w:sz="4" w:space="0"/>
              <w:right w:val="single" w:color="auto" w:sz="4" w:space="0"/>
            </w:tcBorders>
            <w:vAlign w:val="center"/>
          </w:tcPr>
          <w:p w14:paraId="4F479D06">
            <w:pPr>
              <w:pStyle w:val="1306"/>
              <w:ind w:left="0" w:firstLine="0"/>
              <w:jc w:val="both"/>
              <w:rPr>
                <w:rFonts w:ascii="宋体" w:hAnsi="宋体"/>
                <w:sz w:val="21"/>
                <w:szCs w:val="21"/>
              </w:rPr>
            </w:pPr>
            <w:r>
              <w:rPr>
                <w:rFonts w:hint="eastAsia" w:ascii="宋体" w:hAnsi="宋体"/>
                <w:sz w:val="21"/>
                <w:szCs w:val="21"/>
              </w:rPr>
              <w:t>技术规格要求</w:t>
            </w:r>
          </w:p>
        </w:tc>
      </w:tr>
      <w:tr w14:paraId="0D613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02" w:type="dxa"/>
            <w:tcBorders>
              <w:top w:val="single" w:color="auto" w:sz="4" w:space="0"/>
              <w:left w:val="single" w:color="auto" w:sz="4" w:space="0"/>
              <w:bottom w:val="single" w:color="auto" w:sz="4" w:space="0"/>
              <w:right w:val="single" w:color="auto" w:sz="4" w:space="0"/>
            </w:tcBorders>
            <w:vAlign w:val="center"/>
          </w:tcPr>
          <w:p w14:paraId="441B85F3">
            <w:pPr>
              <w:pStyle w:val="1306"/>
              <w:ind w:left="0" w:firstLine="0"/>
              <w:rPr>
                <w:rFonts w:ascii="宋体" w:hAnsi="宋体"/>
                <w:sz w:val="21"/>
                <w:szCs w:val="21"/>
              </w:rPr>
            </w:pPr>
            <w:r>
              <w:rPr>
                <w:rFonts w:hint="eastAsia" w:ascii="宋体" w:hAnsi="宋体"/>
                <w:sz w:val="21"/>
                <w:szCs w:val="21"/>
              </w:rPr>
              <w:t>性能</w:t>
            </w:r>
          </w:p>
        </w:tc>
        <w:tc>
          <w:tcPr>
            <w:tcW w:w="6650" w:type="dxa"/>
            <w:tcBorders>
              <w:top w:val="single" w:color="auto" w:sz="4" w:space="0"/>
              <w:left w:val="single" w:color="auto" w:sz="4" w:space="0"/>
              <w:bottom w:val="single" w:color="auto" w:sz="4" w:space="0"/>
              <w:right w:val="single" w:color="auto" w:sz="4" w:space="0"/>
            </w:tcBorders>
            <w:vAlign w:val="center"/>
          </w:tcPr>
          <w:p w14:paraId="5F0555B5">
            <w:pPr>
              <w:pStyle w:val="1306"/>
              <w:ind w:left="0" w:firstLine="0"/>
              <w:jc w:val="left"/>
              <w:rPr>
                <w:rFonts w:ascii="宋体" w:hAnsi="宋体"/>
                <w:sz w:val="21"/>
                <w:szCs w:val="21"/>
              </w:rPr>
            </w:pPr>
            <w:r>
              <w:rPr>
                <w:rFonts w:hint="eastAsia" w:ascii="宋体" w:hAnsi="宋体"/>
                <w:sz w:val="21"/>
                <w:szCs w:val="21"/>
              </w:rPr>
              <w:t>交换容量应≥4.8Tbps，包转发率应≥2000Mpps。</w:t>
            </w:r>
          </w:p>
        </w:tc>
      </w:tr>
      <w:tr w14:paraId="1A44E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6C76E6A4">
            <w:pPr>
              <w:pStyle w:val="1306"/>
              <w:ind w:left="0" w:firstLine="0"/>
              <w:rPr>
                <w:rFonts w:ascii="宋体" w:hAnsi="宋体"/>
                <w:sz w:val="21"/>
                <w:szCs w:val="21"/>
              </w:rPr>
            </w:pPr>
            <w:r>
              <w:rPr>
                <w:rFonts w:hint="eastAsia" w:ascii="宋体" w:hAnsi="宋体"/>
                <w:sz w:val="21"/>
                <w:szCs w:val="21"/>
              </w:rPr>
              <w:t>架构</w:t>
            </w:r>
          </w:p>
        </w:tc>
        <w:tc>
          <w:tcPr>
            <w:tcW w:w="6650" w:type="dxa"/>
            <w:tcBorders>
              <w:top w:val="single" w:color="auto" w:sz="4" w:space="0"/>
              <w:left w:val="single" w:color="auto" w:sz="4" w:space="0"/>
              <w:bottom w:val="single" w:color="auto" w:sz="4" w:space="0"/>
              <w:right w:val="single" w:color="auto" w:sz="4" w:space="0"/>
            </w:tcBorders>
            <w:vAlign w:val="center"/>
          </w:tcPr>
          <w:p w14:paraId="25EC3CFA">
            <w:pPr>
              <w:pStyle w:val="1306"/>
              <w:ind w:left="0" w:firstLine="0"/>
              <w:jc w:val="left"/>
              <w:rPr>
                <w:rFonts w:ascii="宋体" w:hAnsi="宋体"/>
                <w:sz w:val="21"/>
                <w:szCs w:val="21"/>
              </w:rPr>
            </w:pPr>
            <w:r>
              <w:rPr>
                <w:rFonts w:hint="eastAsia" w:ascii="宋体" w:hAnsi="宋体"/>
                <w:sz w:val="21"/>
                <w:szCs w:val="21"/>
              </w:rPr>
              <w:t>采用三层以太网交换机，能够实现主备交换机快速切换；电源槽位≥2，风扇槽位≥4。</w:t>
            </w:r>
          </w:p>
        </w:tc>
      </w:tr>
      <w:tr w14:paraId="1BD4B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4CB51A26">
            <w:pPr>
              <w:pStyle w:val="1306"/>
              <w:ind w:left="0" w:firstLine="0"/>
              <w:rPr>
                <w:rFonts w:ascii="宋体" w:hAnsi="宋体"/>
                <w:sz w:val="21"/>
                <w:szCs w:val="21"/>
              </w:rPr>
            </w:pPr>
            <w:r>
              <w:rPr>
                <w:rFonts w:hint="eastAsia" w:ascii="宋体" w:hAnsi="宋体"/>
                <w:sz w:val="21"/>
                <w:szCs w:val="21"/>
              </w:rPr>
              <w:t>可靠性</w:t>
            </w:r>
          </w:p>
        </w:tc>
        <w:tc>
          <w:tcPr>
            <w:tcW w:w="6650" w:type="dxa"/>
            <w:tcBorders>
              <w:top w:val="single" w:color="auto" w:sz="4" w:space="0"/>
              <w:left w:val="single" w:color="auto" w:sz="4" w:space="0"/>
              <w:bottom w:val="single" w:color="auto" w:sz="4" w:space="0"/>
              <w:right w:val="single" w:color="auto" w:sz="4" w:space="0"/>
            </w:tcBorders>
            <w:vAlign w:val="center"/>
          </w:tcPr>
          <w:p w14:paraId="0F5C89EC">
            <w:pPr>
              <w:pStyle w:val="1306"/>
              <w:ind w:left="0" w:firstLine="0"/>
              <w:jc w:val="left"/>
              <w:rPr>
                <w:rFonts w:ascii="宋体" w:hAnsi="宋体"/>
                <w:sz w:val="21"/>
                <w:szCs w:val="21"/>
              </w:rPr>
            </w:pPr>
            <w:r>
              <w:rPr>
                <w:rFonts w:hint="eastAsia" w:ascii="宋体" w:hAnsi="宋体"/>
                <w:sz w:val="21"/>
                <w:szCs w:val="21"/>
              </w:rPr>
              <w:t>支持MC-LAG跨设备链路聚合技术,能够实现多台设备间的链路聚合，从而把链路可靠性从单板级提到设备级；各节点设备可独立升级，升级过程中其它节点承接业务转发，实现业务零中断。</w:t>
            </w:r>
          </w:p>
        </w:tc>
      </w:tr>
      <w:tr w14:paraId="331E1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0A6E3618">
            <w:pPr>
              <w:pStyle w:val="1306"/>
              <w:ind w:left="0" w:firstLine="0"/>
              <w:rPr>
                <w:rFonts w:ascii="宋体" w:hAnsi="宋体"/>
                <w:sz w:val="21"/>
                <w:szCs w:val="21"/>
              </w:rPr>
            </w:pPr>
            <w:r>
              <w:rPr>
                <w:rFonts w:hint="eastAsia" w:ascii="宋体" w:hAnsi="宋体"/>
                <w:sz w:val="21"/>
                <w:szCs w:val="21"/>
              </w:rPr>
              <w:t>接口能力</w:t>
            </w:r>
          </w:p>
        </w:tc>
        <w:tc>
          <w:tcPr>
            <w:tcW w:w="6650" w:type="dxa"/>
            <w:tcBorders>
              <w:top w:val="single" w:color="auto" w:sz="4" w:space="0"/>
              <w:left w:val="single" w:color="auto" w:sz="4" w:space="0"/>
              <w:bottom w:val="single" w:color="auto" w:sz="4" w:space="0"/>
              <w:right w:val="single" w:color="auto" w:sz="4" w:space="0"/>
            </w:tcBorders>
            <w:vAlign w:val="center"/>
          </w:tcPr>
          <w:p w14:paraId="2E343F29">
            <w:pPr>
              <w:pStyle w:val="1306"/>
              <w:ind w:left="0" w:firstLine="0"/>
              <w:jc w:val="left"/>
              <w:rPr>
                <w:rFonts w:ascii="宋体" w:hAnsi="宋体"/>
                <w:sz w:val="21"/>
                <w:szCs w:val="21"/>
              </w:rPr>
            </w:pPr>
            <w:r>
              <w:rPr>
                <w:rFonts w:hint="eastAsia" w:ascii="宋体" w:hAnsi="宋体" w:cs="Times New Roman"/>
                <w:sz w:val="21"/>
                <w:szCs w:val="21"/>
              </w:rPr>
              <w:t>10GE光口≥48个，40GE/100GE光口≥8。</w:t>
            </w:r>
          </w:p>
        </w:tc>
      </w:tr>
      <w:tr w14:paraId="70690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4B47A557">
            <w:pPr>
              <w:pStyle w:val="1306"/>
              <w:ind w:left="0" w:firstLine="0"/>
              <w:rPr>
                <w:rFonts w:ascii="宋体" w:hAnsi="宋体"/>
                <w:sz w:val="21"/>
                <w:szCs w:val="21"/>
              </w:rPr>
            </w:pPr>
            <w:r>
              <w:rPr>
                <w:rFonts w:hint="eastAsia" w:ascii="宋体" w:hAnsi="宋体"/>
                <w:sz w:val="21"/>
                <w:szCs w:val="21"/>
              </w:rPr>
              <w:t>虚拟化</w:t>
            </w:r>
          </w:p>
        </w:tc>
        <w:tc>
          <w:tcPr>
            <w:tcW w:w="6650" w:type="dxa"/>
            <w:tcBorders>
              <w:top w:val="single" w:color="auto" w:sz="4" w:space="0"/>
              <w:left w:val="single" w:color="auto" w:sz="4" w:space="0"/>
              <w:bottom w:val="single" w:color="auto" w:sz="4" w:space="0"/>
              <w:right w:val="single" w:color="auto" w:sz="4" w:space="0"/>
            </w:tcBorders>
            <w:vAlign w:val="center"/>
          </w:tcPr>
          <w:p w14:paraId="5C36DD91">
            <w:pPr>
              <w:pStyle w:val="1306"/>
              <w:ind w:left="0" w:firstLine="0"/>
              <w:jc w:val="left"/>
              <w:rPr>
                <w:rFonts w:ascii="宋体" w:hAnsi="宋体"/>
                <w:sz w:val="21"/>
                <w:szCs w:val="21"/>
              </w:rPr>
            </w:pPr>
            <w:r>
              <w:rPr>
                <w:rFonts w:hint="eastAsia" w:ascii="宋体" w:hAnsi="宋体"/>
                <w:sz w:val="21"/>
                <w:szCs w:val="21"/>
              </w:rPr>
              <w:t>支持多虚一技术，实现单一界面管理多台设备。</w:t>
            </w:r>
          </w:p>
        </w:tc>
      </w:tr>
      <w:tr w14:paraId="49629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94" w:hRule="atLeast"/>
        </w:trPr>
        <w:tc>
          <w:tcPr>
            <w:tcW w:w="1702" w:type="dxa"/>
            <w:tcBorders>
              <w:top w:val="single" w:color="auto" w:sz="4" w:space="0"/>
              <w:left w:val="single" w:color="auto" w:sz="4" w:space="0"/>
              <w:bottom w:val="single" w:color="auto" w:sz="4" w:space="0"/>
              <w:right w:val="single" w:color="auto" w:sz="4" w:space="0"/>
            </w:tcBorders>
            <w:vAlign w:val="center"/>
          </w:tcPr>
          <w:p w14:paraId="7BC1DDBF">
            <w:pPr>
              <w:pStyle w:val="1306"/>
              <w:ind w:left="0" w:firstLine="0"/>
              <w:rPr>
                <w:rFonts w:ascii="宋体" w:hAnsi="宋体"/>
                <w:sz w:val="21"/>
                <w:szCs w:val="21"/>
              </w:rPr>
            </w:pPr>
            <w:r>
              <w:rPr>
                <w:rFonts w:hint="eastAsia" w:ascii="宋体" w:hAnsi="宋体"/>
                <w:sz w:val="21"/>
                <w:szCs w:val="21"/>
              </w:rPr>
              <w:t>功能</w:t>
            </w:r>
          </w:p>
        </w:tc>
        <w:tc>
          <w:tcPr>
            <w:tcW w:w="6650" w:type="dxa"/>
            <w:tcBorders>
              <w:top w:val="single" w:color="auto" w:sz="4" w:space="0"/>
              <w:left w:val="single" w:color="auto" w:sz="4" w:space="0"/>
              <w:bottom w:val="single" w:color="auto" w:sz="4" w:space="0"/>
              <w:right w:val="single" w:color="auto" w:sz="4" w:space="0"/>
            </w:tcBorders>
            <w:vAlign w:val="center"/>
          </w:tcPr>
          <w:p w14:paraId="77813F2D">
            <w:pPr>
              <w:pStyle w:val="1306"/>
              <w:ind w:left="0" w:firstLine="0"/>
              <w:jc w:val="left"/>
              <w:rPr>
                <w:rFonts w:ascii="宋体" w:hAnsi="宋体"/>
                <w:sz w:val="21"/>
                <w:szCs w:val="21"/>
              </w:rPr>
            </w:pPr>
            <w:r>
              <w:rPr>
                <w:rFonts w:hint="eastAsia" w:ascii="宋体" w:hAnsi="宋体"/>
                <w:sz w:val="21"/>
                <w:szCs w:val="21"/>
              </w:rPr>
              <w:t>支持VXLAN routing 、BGP-EVPN等功能。</w:t>
            </w:r>
          </w:p>
        </w:tc>
      </w:tr>
      <w:tr w14:paraId="44140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70" w:hRule="atLeast"/>
        </w:trPr>
        <w:tc>
          <w:tcPr>
            <w:tcW w:w="1702" w:type="dxa"/>
            <w:tcBorders>
              <w:top w:val="single" w:color="auto" w:sz="4" w:space="0"/>
              <w:left w:val="single" w:color="auto" w:sz="4" w:space="0"/>
              <w:bottom w:val="single" w:color="auto" w:sz="4" w:space="0"/>
              <w:right w:val="single" w:color="auto" w:sz="4" w:space="0"/>
            </w:tcBorders>
            <w:vAlign w:val="center"/>
          </w:tcPr>
          <w:p w14:paraId="7CBB93AD">
            <w:pPr>
              <w:pStyle w:val="1306"/>
              <w:ind w:left="0" w:firstLine="0"/>
              <w:rPr>
                <w:rFonts w:ascii="宋体" w:hAnsi="宋体"/>
                <w:sz w:val="21"/>
                <w:szCs w:val="21"/>
              </w:rPr>
            </w:pPr>
            <w:r>
              <w:rPr>
                <w:rFonts w:hint="eastAsia" w:ascii="宋体" w:hAnsi="宋体"/>
                <w:sz w:val="21"/>
                <w:szCs w:val="21"/>
              </w:rPr>
              <w:t>配置要求</w:t>
            </w:r>
          </w:p>
        </w:tc>
        <w:tc>
          <w:tcPr>
            <w:tcW w:w="6650" w:type="dxa"/>
            <w:tcBorders>
              <w:top w:val="single" w:color="auto" w:sz="4" w:space="0"/>
              <w:left w:val="single" w:color="auto" w:sz="4" w:space="0"/>
              <w:bottom w:val="single" w:color="auto" w:sz="4" w:space="0"/>
              <w:right w:val="single" w:color="auto" w:sz="4" w:space="0"/>
            </w:tcBorders>
            <w:vAlign w:val="center"/>
          </w:tcPr>
          <w:p w14:paraId="490E0C0C">
            <w:pPr>
              <w:pStyle w:val="1306"/>
              <w:ind w:left="0" w:firstLine="0"/>
              <w:jc w:val="left"/>
              <w:rPr>
                <w:rFonts w:ascii="宋体" w:hAnsi="宋体"/>
                <w:sz w:val="21"/>
                <w:szCs w:val="21"/>
              </w:rPr>
            </w:pPr>
            <w:r>
              <w:rPr>
                <w:rFonts w:hint="eastAsia" w:ascii="宋体" w:hAnsi="宋体"/>
                <w:sz w:val="21"/>
                <w:szCs w:val="21"/>
              </w:rPr>
              <w:t>网络交换机间要求堆叠或虚拟化，配置10GE多模光模块至少48个，40GE多模光模块至少</w:t>
            </w:r>
            <w:r>
              <w:rPr>
                <w:rFonts w:ascii="宋体" w:hAnsi="宋体"/>
                <w:sz w:val="21"/>
                <w:szCs w:val="21"/>
              </w:rPr>
              <w:t>6</w:t>
            </w:r>
            <w:r>
              <w:rPr>
                <w:rFonts w:hint="eastAsia" w:ascii="宋体" w:hAnsi="宋体"/>
                <w:sz w:val="21"/>
                <w:szCs w:val="21"/>
              </w:rPr>
              <w:t>个。</w:t>
            </w:r>
          </w:p>
        </w:tc>
      </w:tr>
    </w:tbl>
    <w:p w14:paraId="3D5C2976">
      <w:pPr>
        <w:widowControl/>
        <w:adjustRightInd w:val="0"/>
        <w:snapToGrid w:val="0"/>
        <w:ind w:left="0" w:firstLine="0"/>
        <w:jc w:val="both"/>
        <w:rPr>
          <w:rFonts w:ascii="宋体" w:hAnsi="宋体"/>
          <w:sz w:val="21"/>
          <w:szCs w:val="21"/>
        </w:rPr>
      </w:pPr>
    </w:p>
    <w:p w14:paraId="4854A453">
      <w:pPr>
        <w:pStyle w:val="5"/>
        <w:rPr>
          <w:rFonts w:hAnsi="宋体"/>
          <w:bCs w:val="0"/>
          <w:color w:val="auto"/>
          <w:szCs w:val="21"/>
        </w:rPr>
      </w:pPr>
      <w:r>
        <w:rPr>
          <w:rFonts w:hint="eastAsia" w:hAnsi="宋体"/>
          <w:bCs w:val="0"/>
          <w:color w:val="auto"/>
          <w:szCs w:val="21"/>
        </w:rPr>
        <w:t>存储交换机</w:t>
      </w:r>
    </w:p>
    <w:tbl>
      <w:tblPr>
        <w:tblStyle w:val="87"/>
        <w:tblW w:w="8352"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702"/>
        <w:gridCol w:w="6650"/>
      </w:tblGrid>
      <w:tr w14:paraId="6F3EE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02" w:type="dxa"/>
            <w:tcBorders>
              <w:top w:val="single" w:color="auto" w:sz="4" w:space="0"/>
              <w:left w:val="single" w:color="auto" w:sz="4" w:space="0"/>
              <w:bottom w:val="single" w:color="auto" w:sz="4" w:space="0"/>
              <w:right w:val="single" w:color="auto" w:sz="4" w:space="0"/>
            </w:tcBorders>
            <w:vAlign w:val="center"/>
          </w:tcPr>
          <w:p w14:paraId="1B2A8880">
            <w:pPr>
              <w:pStyle w:val="1306"/>
              <w:ind w:left="480" w:firstLine="0"/>
              <w:rPr>
                <w:rFonts w:ascii="宋体" w:hAnsi="宋体"/>
                <w:sz w:val="21"/>
                <w:szCs w:val="21"/>
              </w:rPr>
            </w:pPr>
            <w:r>
              <w:rPr>
                <w:rFonts w:hint="eastAsia" w:ascii="宋体" w:hAnsi="宋体"/>
                <w:sz w:val="21"/>
                <w:szCs w:val="21"/>
              </w:rPr>
              <w:t>指标项</w:t>
            </w:r>
          </w:p>
        </w:tc>
        <w:tc>
          <w:tcPr>
            <w:tcW w:w="6650" w:type="dxa"/>
            <w:tcBorders>
              <w:top w:val="single" w:color="auto" w:sz="4" w:space="0"/>
              <w:left w:val="single" w:color="auto" w:sz="4" w:space="0"/>
              <w:bottom w:val="single" w:color="auto" w:sz="4" w:space="0"/>
              <w:right w:val="single" w:color="auto" w:sz="4" w:space="0"/>
            </w:tcBorders>
            <w:vAlign w:val="center"/>
          </w:tcPr>
          <w:p w14:paraId="21B570E0">
            <w:pPr>
              <w:pStyle w:val="1306"/>
              <w:ind w:left="480" w:firstLine="0"/>
              <w:jc w:val="both"/>
              <w:rPr>
                <w:rFonts w:ascii="宋体" w:hAnsi="宋体"/>
                <w:sz w:val="21"/>
                <w:szCs w:val="21"/>
              </w:rPr>
            </w:pPr>
            <w:r>
              <w:rPr>
                <w:rFonts w:hint="eastAsia" w:ascii="宋体" w:hAnsi="宋体"/>
                <w:sz w:val="21"/>
                <w:szCs w:val="21"/>
              </w:rPr>
              <w:t>技术规格要求</w:t>
            </w:r>
          </w:p>
        </w:tc>
      </w:tr>
      <w:tr w14:paraId="13898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02" w:type="dxa"/>
            <w:tcBorders>
              <w:top w:val="single" w:color="auto" w:sz="4" w:space="0"/>
              <w:left w:val="single" w:color="auto" w:sz="4" w:space="0"/>
              <w:bottom w:val="single" w:color="auto" w:sz="4" w:space="0"/>
              <w:right w:val="single" w:color="auto" w:sz="4" w:space="0"/>
            </w:tcBorders>
            <w:vAlign w:val="center"/>
          </w:tcPr>
          <w:p w14:paraId="6995B2D4">
            <w:pPr>
              <w:pStyle w:val="1306"/>
              <w:ind w:left="480" w:firstLine="0"/>
              <w:rPr>
                <w:rFonts w:ascii="宋体" w:hAnsi="宋体"/>
                <w:sz w:val="21"/>
                <w:szCs w:val="21"/>
              </w:rPr>
            </w:pPr>
            <w:r>
              <w:rPr>
                <w:rFonts w:hint="eastAsia" w:ascii="宋体" w:hAnsi="宋体"/>
                <w:sz w:val="21"/>
                <w:szCs w:val="21"/>
              </w:rPr>
              <w:t>性能</w:t>
            </w:r>
          </w:p>
        </w:tc>
        <w:tc>
          <w:tcPr>
            <w:tcW w:w="6650" w:type="dxa"/>
            <w:tcBorders>
              <w:top w:val="single" w:color="auto" w:sz="4" w:space="0"/>
              <w:left w:val="single" w:color="auto" w:sz="4" w:space="0"/>
              <w:bottom w:val="single" w:color="auto" w:sz="4" w:space="0"/>
              <w:right w:val="single" w:color="auto" w:sz="4" w:space="0"/>
            </w:tcBorders>
            <w:vAlign w:val="center"/>
          </w:tcPr>
          <w:p w14:paraId="4BF8A84C">
            <w:pPr>
              <w:pStyle w:val="1306"/>
              <w:ind w:left="480" w:firstLine="0"/>
              <w:jc w:val="left"/>
              <w:rPr>
                <w:rFonts w:ascii="宋体" w:hAnsi="宋体"/>
                <w:sz w:val="21"/>
                <w:szCs w:val="21"/>
              </w:rPr>
            </w:pPr>
            <w:r>
              <w:rPr>
                <w:rFonts w:hint="eastAsia" w:ascii="宋体" w:hAnsi="宋体"/>
                <w:sz w:val="21"/>
                <w:szCs w:val="21"/>
              </w:rPr>
              <w:t>交换容量应≥4.8Tbps，包转发率应≥2000Mpps。</w:t>
            </w:r>
          </w:p>
        </w:tc>
      </w:tr>
      <w:tr w14:paraId="02A11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4ED91EB7">
            <w:pPr>
              <w:pStyle w:val="1306"/>
              <w:ind w:left="480" w:firstLine="0"/>
              <w:rPr>
                <w:rFonts w:ascii="宋体" w:hAnsi="宋体"/>
                <w:sz w:val="21"/>
                <w:szCs w:val="21"/>
              </w:rPr>
            </w:pPr>
            <w:r>
              <w:rPr>
                <w:rFonts w:hint="eastAsia" w:ascii="宋体" w:hAnsi="宋体"/>
                <w:sz w:val="21"/>
                <w:szCs w:val="21"/>
              </w:rPr>
              <w:t>架构</w:t>
            </w:r>
          </w:p>
        </w:tc>
        <w:tc>
          <w:tcPr>
            <w:tcW w:w="6650" w:type="dxa"/>
            <w:tcBorders>
              <w:top w:val="single" w:color="auto" w:sz="4" w:space="0"/>
              <w:left w:val="single" w:color="auto" w:sz="4" w:space="0"/>
              <w:bottom w:val="single" w:color="auto" w:sz="4" w:space="0"/>
              <w:right w:val="single" w:color="auto" w:sz="4" w:space="0"/>
            </w:tcBorders>
            <w:vAlign w:val="center"/>
          </w:tcPr>
          <w:p w14:paraId="4209C660">
            <w:pPr>
              <w:pStyle w:val="1306"/>
              <w:ind w:left="480" w:firstLine="0"/>
              <w:jc w:val="left"/>
              <w:rPr>
                <w:rFonts w:ascii="宋体" w:hAnsi="宋体"/>
                <w:sz w:val="21"/>
                <w:szCs w:val="21"/>
              </w:rPr>
            </w:pPr>
            <w:r>
              <w:rPr>
                <w:rFonts w:hint="eastAsia" w:ascii="宋体" w:hAnsi="宋体"/>
                <w:sz w:val="21"/>
                <w:szCs w:val="21"/>
              </w:rPr>
              <w:t>采用三层以太网交换机，能够实现主备交换机快速切换；电源槽位≥2、风扇槽位≥4。</w:t>
            </w:r>
          </w:p>
        </w:tc>
      </w:tr>
      <w:tr w14:paraId="18E63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2C29ED34">
            <w:pPr>
              <w:pStyle w:val="1306"/>
              <w:ind w:left="480" w:firstLine="0"/>
              <w:rPr>
                <w:rFonts w:ascii="宋体" w:hAnsi="宋体"/>
                <w:sz w:val="21"/>
                <w:szCs w:val="21"/>
              </w:rPr>
            </w:pPr>
            <w:r>
              <w:rPr>
                <w:rFonts w:hint="eastAsia" w:ascii="宋体" w:hAnsi="宋体"/>
                <w:sz w:val="21"/>
                <w:szCs w:val="21"/>
              </w:rPr>
              <w:t>可靠性</w:t>
            </w:r>
          </w:p>
        </w:tc>
        <w:tc>
          <w:tcPr>
            <w:tcW w:w="6650" w:type="dxa"/>
            <w:tcBorders>
              <w:top w:val="single" w:color="auto" w:sz="4" w:space="0"/>
              <w:left w:val="single" w:color="auto" w:sz="4" w:space="0"/>
              <w:bottom w:val="single" w:color="auto" w:sz="4" w:space="0"/>
              <w:right w:val="single" w:color="auto" w:sz="4" w:space="0"/>
            </w:tcBorders>
            <w:vAlign w:val="center"/>
          </w:tcPr>
          <w:p w14:paraId="3F147F57">
            <w:pPr>
              <w:pStyle w:val="1306"/>
              <w:ind w:left="480" w:firstLine="0"/>
              <w:jc w:val="left"/>
              <w:rPr>
                <w:rFonts w:ascii="宋体" w:hAnsi="宋体"/>
                <w:sz w:val="21"/>
                <w:szCs w:val="21"/>
              </w:rPr>
            </w:pPr>
            <w:r>
              <w:rPr>
                <w:rFonts w:hint="eastAsia" w:ascii="宋体" w:hAnsi="宋体"/>
                <w:sz w:val="21"/>
                <w:szCs w:val="21"/>
              </w:rPr>
              <w:t>支持MC-LAG跨设备链路聚合技术,能够实现多台设备间的链路聚合，从而把链路可靠性从单板级提到设备级；各节点设备可独立升级，升级过程中其它节点承接业务转发，实现业务零中断。</w:t>
            </w:r>
            <w:r>
              <w:rPr>
                <w:rFonts w:ascii="宋体" w:hAnsi="宋体"/>
                <w:sz w:val="21"/>
                <w:szCs w:val="21"/>
              </w:rPr>
              <w:t xml:space="preserve"> </w:t>
            </w:r>
          </w:p>
        </w:tc>
      </w:tr>
      <w:tr w14:paraId="5D556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2C621849">
            <w:pPr>
              <w:pStyle w:val="1306"/>
              <w:ind w:left="480" w:firstLine="0"/>
              <w:rPr>
                <w:rFonts w:ascii="宋体" w:hAnsi="宋体"/>
                <w:sz w:val="21"/>
                <w:szCs w:val="21"/>
              </w:rPr>
            </w:pPr>
            <w:r>
              <w:rPr>
                <w:rFonts w:hint="eastAsia" w:ascii="宋体" w:hAnsi="宋体"/>
                <w:sz w:val="21"/>
                <w:szCs w:val="21"/>
              </w:rPr>
              <w:t>接口能力</w:t>
            </w:r>
          </w:p>
        </w:tc>
        <w:tc>
          <w:tcPr>
            <w:tcW w:w="6650" w:type="dxa"/>
            <w:tcBorders>
              <w:top w:val="single" w:color="auto" w:sz="4" w:space="0"/>
              <w:left w:val="single" w:color="auto" w:sz="4" w:space="0"/>
              <w:bottom w:val="single" w:color="auto" w:sz="4" w:space="0"/>
              <w:right w:val="single" w:color="auto" w:sz="4" w:space="0"/>
            </w:tcBorders>
            <w:vAlign w:val="center"/>
          </w:tcPr>
          <w:p w14:paraId="1AEDC93F">
            <w:pPr>
              <w:pStyle w:val="1306"/>
              <w:ind w:left="480" w:firstLine="0"/>
              <w:jc w:val="left"/>
              <w:rPr>
                <w:rFonts w:ascii="宋体" w:hAnsi="宋体"/>
                <w:sz w:val="21"/>
                <w:szCs w:val="21"/>
              </w:rPr>
            </w:pPr>
            <w:r>
              <w:rPr>
                <w:rFonts w:hint="eastAsia" w:ascii="宋体" w:hAnsi="宋体"/>
                <w:sz w:val="21"/>
                <w:szCs w:val="21"/>
              </w:rPr>
              <w:t>10GE光口≥</w:t>
            </w:r>
            <w:r>
              <w:rPr>
                <w:rFonts w:ascii="宋体" w:hAnsi="宋体"/>
                <w:sz w:val="21"/>
                <w:szCs w:val="21"/>
              </w:rPr>
              <w:t>48</w:t>
            </w:r>
            <w:r>
              <w:rPr>
                <w:rFonts w:hint="eastAsia" w:ascii="宋体" w:hAnsi="宋体"/>
                <w:sz w:val="21"/>
                <w:szCs w:val="21"/>
              </w:rPr>
              <w:t>个，40GE/100GE光口≥4。</w:t>
            </w:r>
          </w:p>
        </w:tc>
      </w:tr>
      <w:tr w14:paraId="5C170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02" w:type="dxa"/>
            <w:tcBorders>
              <w:top w:val="single" w:color="auto" w:sz="4" w:space="0"/>
              <w:left w:val="single" w:color="auto" w:sz="4" w:space="0"/>
              <w:bottom w:val="single" w:color="auto" w:sz="4" w:space="0"/>
              <w:right w:val="single" w:color="auto" w:sz="4" w:space="0"/>
            </w:tcBorders>
            <w:vAlign w:val="center"/>
          </w:tcPr>
          <w:p w14:paraId="34BA1F67">
            <w:pPr>
              <w:pStyle w:val="1306"/>
              <w:ind w:left="480" w:firstLine="0"/>
              <w:rPr>
                <w:rFonts w:ascii="宋体" w:hAnsi="宋体"/>
                <w:sz w:val="21"/>
                <w:szCs w:val="21"/>
              </w:rPr>
            </w:pPr>
            <w:r>
              <w:rPr>
                <w:rFonts w:hint="eastAsia" w:ascii="宋体" w:hAnsi="宋体"/>
                <w:sz w:val="21"/>
                <w:szCs w:val="21"/>
              </w:rPr>
              <w:t>虚拟化</w:t>
            </w:r>
          </w:p>
        </w:tc>
        <w:tc>
          <w:tcPr>
            <w:tcW w:w="6650" w:type="dxa"/>
            <w:tcBorders>
              <w:top w:val="single" w:color="auto" w:sz="4" w:space="0"/>
              <w:left w:val="single" w:color="auto" w:sz="4" w:space="0"/>
              <w:bottom w:val="single" w:color="auto" w:sz="4" w:space="0"/>
              <w:right w:val="single" w:color="auto" w:sz="4" w:space="0"/>
            </w:tcBorders>
            <w:vAlign w:val="center"/>
          </w:tcPr>
          <w:p w14:paraId="5CB4005C">
            <w:pPr>
              <w:pStyle w:val="1306"/>
              <w:ind w:left="480" w:firstLine="0"/>
              <w:jc w:val="left"/>
              <w:rPr>
                <w:rFonts w:ascii="宋体" w:hAnsi="宋体"/>
                <w:sz w:val="21"/>
                <w:szCs w:val="21"/>
              </w:rPr>
            </w:pPr>
            <w:r>
              <w:rPr>
                <w:rFonts w:hint="eastAsia" w:ascii="宋体" w:hAnsi="宋体"/>
                <w:sz w:val="21"/>
                <w:szCs w:val="21"/>
              </w:rPr>
              <w:t>支持多虚一技术，实现单一界面管理多台设备。</w:t>
            </w:r>
          </w:p>
        </w:tc>
      </w:tr>
      <w:tr w14:paraId="2597E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94" w:hRule="atLeast"/>
        </w:trPr>
        <w:tc>
          <w:tcPr>
            <w:tcW w:w="1702" w:type="dxa"/>
            <w:tcBorders>
              <w:top w:val="single" w:color="auto" w:sz="4" w:space="0"/>
              <w:left w:val="single" w:color="auto" w:sz="4" w:space="0"/>
              <w:bottom w:val="single" w:color="auto" w:sz="4" w:space="0"/>
              <w:right w:val="single" w:color="auto" w:sz="4" w:space="0"/>
            </w:tcBorders>
            <w:vAlign w:val="center"/>
          </w:tcPr>
          <w:p w14:paraId="71B1B7D8">
            <w:pPr>
              <w:pStyle w:val="1306"/>
              <w:ind w:left="480" w:firstLine="0"/>
              <w:rPr>
                <w:rFonts w:ascii="宋体" w:hAnsi="宋体"/>
                <w:sz w:val="21"/>
                <w:szCs w:val="21"/>
              </w:rPr>
            </w:pPr>
            <w:r>
              <w:rPr>
                <w:rFonts w:hint="eastAsia" w:ascii="宋体" w:hAnsi="宋体"/>
                <w:sz w:val="21"/>
                <w:szCs w:val="21"/>
              </w:rPr>
              <w:t>功能</w:t>
            </w:r>
          </w:p>
        </w:tc>
        <w:tc>
          <w:tcPr>
            <w:tcW w:w="6650" w:type="dxa"/>
            <w:tcBorders>
              <w:top w:val="single" w:color="auto" w:sz="4" w:space="0"/>
              <w:left w:val="single" w:color="auto" w:sz="4" w:space="0"/>
              <w:bottom w:val="single" w:color="auto" w:sz="4" w:space="0"/>
              <w:right w:val="single" w:color="auto" w:sz="4" w:space="0"/>
            </w:tcBorders>
            <w:vAlign w:val="center"/>
          </w:tcPr>
          <w:p w14:paraId="7942C3D5">
            <w:pPr>
              <w:pStyle w:val="1306"/>
              <w:ind w:left="480" w:firstLine="0"/>
              <w:jc w:val="left"/>
              <w:rPr>
                <w:rFonts w:ascii="宋体" w:hAnsi="宋体"/>
                <w:sz w:val="21"/>
                <w:szCs w:val="21"/>
              </w:rPr>
            </w:pPr>
            <w:r>
              <w:rPr>
                <w:rFonts w:hint="eastAsia" w:ascii="宋体" w:hAnsi="宋体"/>
                <w:sz w:val="21"/>
                <w:szCs w:val="21"/>
              </w:rPr>
              <w:t>支持VXLAN routing 和 bridging、BGP-EVPN等功能。</w:t>
            </w:r>
            <w:r>
              <w:rPr>
                <w:rFonts w:ascii="宋体" w:hAnsi="宋体"/>
                <w:sz w:val="21"/>
                <w:szCs w:val="21"/>
              </w:rPr>
              <w:t xml:space="preserve"> </w:t>
            </w:r>
          </w:p>
        </w:tc>
      </w:tr>
      <w:tr w14:paraId="0763D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70" w:hRule="atLeast"/>
        </w:trPr>
        <w:tc>
          <w:tcPr>
            <w:tcW w:w="1702" w:type="dxa"/>
            <w:tcBorders>
              <w:top w:val="single" w:color="auto" w:sz="4" w:space="0"/>
              <w:left w:val="single" w:color="auto" w:sz="4" w:space="0"/>
              <w:bottom w:val="single" w:color="auto" w:sz="4" w:space="0"/>
              <w:right w:val="single" w:color="auto" w:sz="4" w:space="0"/>
            </w:tcBorders>
            <w:vAlign w:val="center"/>
          </w:tcPr>
          <w:p w14:paraId="0DEC0D4B">
            <w:pPr>
              <w:pStyle w:val="1306"/>
              <w:ind w:left="480" w:firstLine="0"/>
              <w:rPr>
                <w:rFonts w:ascii="宋体" w:hAnsi="宋体"/>
                <w:sz w:val="21"/>
                <w:szCs w:val="21"/>
              </w:rPr>
            </w:pPr>
            <w:r>
              <w:rPr>
                <w:rFonts w:hint="eastAsia" w:ascii="宋体" w:hAnsi="宋体"/>
                <w:sz w:val="21"/>
                <w:szCs w:val="21"/>
              </w:rPr>
              <w:t>配置要求</w:t>
            </w:r>
          </w:p>
        </w:tc>
        <w:tc>
          <w:tcPr>
            <w:tcW w:w="6650" w:type="dxa"/>
            <w:tcBorders>
              <w:top w:val="single" w:color="auto" w:sz="4" w:space="0"/>
              <w:left w:val="single" w:color="auto" w:sz="4" w:space="0"/>
              <w:bottom w:val="single" w:color="auto" w:sz="4" w:space="0"/>
              <w:right w:val="single" w:color="auto" w:sz="4" w:space="0"/>
            </w:tcBorders>
            <w:vAlign w:val="center"/>
          </w:tcPr>
          <w:p w14:paraId="1840F857">
            <w:pPr>
              <w:pStyle w:val="1306"/>
              <w:ind w:left="480" w:firstLine="0"/>
              <w:jc w:val="left"/>
              <w:rPr>
                <w:rFonts w:ascii="宋体" w:hAnsi="宋体"/>
                <w:sz w:val="21"/>
                <w:szCs w:val="21"/>
              </w:rPr>
            </w:pPr>
            <w:r>
              <w:rPr>
                <w:rFonts w:hint="eastAsia" w:ascii="宋体" w:hAnsi="宋体"/>
                <w:sz w:val="21"/>
                <w:szCs w:val="21"/>
              </w:rPr>
              <w:t>网络交换机间要求堆叠或虚拟化，配置10GE多模光模块至少</w:t>
            </w:r>
            <w:r>
              <w:rPr>
                <w:rFonts w:ascii="宋体" w:hAnsi="宋体"/>
                <w:sz w:val="21"/>
                <w:szCs w:val="21"/>
              </w:rPr>
              <w:t>48</w:t>
            </w:r>
            <w:r>
              <w:rPr>
                <w:rFonts w:hint="eastAsia" w:ascii="宋体" w:hAnsi="宋体"/>
                <w:sz w:val="21"/>
                <w:szCs w:val="21"/>
              </w:rPr>
              <w:t>个，40GE多模光模块至少</w:t>
            </w:r>
            <w:r>
              <w:rPr>
                <w:rFonts w:ascii="宋体" w:hAnsi="宋体"/>
                <w:sz w:val="21"/>
                <w:szCs w:val="21"/>
              </w:rPr>
              <w:t>4</w:t>
            </w:r>
            <w:r>
              <w:rPr>
                <w:rFonts w:hint="eastAsia" w:ascii="宋体" w:hAnsi="宋体"/>
                <w:sz w:val="21"/>
                <w:szCs w:val="21"/>
              </w:rPr>
              <w:t>个。</w:t>
            </w:r>
          </w:p>
        </w:tc>
      </w:tr>
    </w:tbl>
    <w:p w14:paraId="5546E80A"/>
    <w:p w14:paraId="6C707C50">
      <w:pPr>
        <w:pStyle w:val="5"/>
        <w:rPr>
          <w:rFonts w:hAnsi="宋体"/>
          <w:bCs w:val="0"/>
          <w:color w:val="auto"/>
          <w:szCs w:val="21"/>
        </w:rPr>
      </w:pPr>
      <w:r>
        <w:rPr>
          <w:rFonts w:hint="eastAsia" w:hAnsi="宋体"/>
          <w:bCs w:val="0"/>
          <w:color w:val="auto"/>
          <w:szCs w:val="21"/>
          <w:lang w:val="en-US"/>
        </w:rPr>
        <w:t>管理交换机</w:t>
      </w:r>
    </w:p>
    <w:tbl>
      <w:tblPr>
        <w:tblStyle w:val="87"/>
        <w:tblW w:w="8376" w:type="dxa"/>
        <w:tblInd w:w="4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714"/>
        <w:gridCol w:w="6662"/>
      </w:tblGrid>
      <w:tr w14:paraId="47867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14" w:type="dxa"/>
            <w:tcBorders>
              <w:top w:val="single" w:color="auto" w:sz="4" w:space="0"/>
              <w:left w:val="single" w:color="auto" w:sz="4" w:space="0"/>
              <w:bottom w:val="single" w:color="auto" w:sz="4" w:space="0"/>
              <w:right w:val="single" w:color="auto" w:sz="4" w:space="0"/>
            </w:tcBorders>
            <w:vAlign w:val="center"/>
          </w:tcPr>
          <w:p w14:paraId="10015873">
            <w:pPr>
              <w:pStyle w:val="1306"/>
              <w:ind w:left="0" w:firstLine="0"/>
              <w:rPr>
                <w:rFonts w:ascii="宋体" w:hAnsi="宋体"/>
                <w:sz w:val="21"/>
                <w:szCs w:val="21"/>
              </w:rPr>
            </w:pPr>
            <w:r>
              <w:rPr>
                <w:rFonts w:hint="eastAsia" w:ascii="宋体" w:hAnsi="宋体"/>
                <w:sz w:val="21"/>
                <w:szCs w:val="21"/>
              </w:rPr>
              <w:t>指标项</w:t>
            </w:r>
          </w:p>
        </w:tc>
        <w:tc>
          <w:tcPr>
            <w:tcW w:w="6662" w:type="dxa"/>
            <w:tcBorders>
              <w:top w:val="single" w:color="auto" w:sz="4" w:space="0"/>
              <w:left w:val="single" w:color="auto" w:sz="4" w:space="0"/>
              <w:bottom w:val="single" w:color="auto" w:sz="4" w:space="0"/>
              <w:right w:val="single" w:color="auto" w:sz="4" w:space="0"/>
            </w:tcBorders>
            <w:vAlign w:val="center"/>
          </w:tcPr>
          <w:p w14:paraId="010AFBE3">
            <w:pPr>
              <w:pStyle w:val="1306"/>
              <w:ind w:left="0" w:firstLine="0"/>
              <w:jc w:val="both"/>
              <w:rPr>
                <w:rFonts w:ascii="宋体" w:hAnsi="宋体"/>
                <w:sz w:val="21"/>
                <w:szCs w:val="21"/>
              </w:rPr>
            </w:pPr>
            <w:r>
              <w:rPr>
                <w:rFonts w:hint="eastAsia" w:ascii="宋体" w:hAnsi="宋体"/>
                <w:sz w:val="21"/>
                <w:szCs w:val="21"/>
              </w:rPr>
              <w:t>技术规格要求</w:t>
            </w:r>
          </w:p>
        </w:tc>
      </w:tr>
      <w:tr w14:paraId="5F032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00" w:hRule="atLeast"/>
        </w:trPr>
        <w:tc>
          <w:tcPr>
            <w:tcW w:w="1714" w:type="dxa"/>
            <w:tcBorders>
              <w:top w:val="single" w:color="auto" w:sz="4" w:space="0"/>
              <w:left w:val="single" w:color="auto" w:sz="4" w:space="0"/>
              <w:bottom w:val="single" w:color="auto" w:sz="4" w:space="0"/>
              <w:right w:val="single" w:color="auto" w:sz="4" w:space="0"/>
            </w:tcBorders>
            <w:vAlign w:val="center"/>
          </w:tcPr>
          <w:p w14:paraId="29EE8C97">
            <w:pPr>
              <w:pStyle w:val="1306"/>
              <w:ind w:left="0" w:firstLine="0"/>
              <w:rPr>
                <w:rFonts w:ascii="宋体" w:hAnsi="宋体"/>
                <w:sz w:val="21"/>
                <w:szCs w:val="21"/>
              </w:rPr>
            </w:pPr>
            <w:r>
              <w:rPr>
                <w:rFonts w:hint="eastAsia" w:ascii="宋体" w:hAnsi="宋体"/>
                <w:sz w:val="21"/>
                <w:szCs w:val="21"/>
              </w:rPr>
              <w:t>性能</w:t>
            </w:r>
          </w:p>
        </w:tc>
        <w:tc>
          <w:tcPr>
            <w:tcW w:w="6662" w:type="dxa"/>
            <w:tcBorders>
              <w:top w:val="single" w:color="auto" w:sz="4" w:space="0"/>
              <w:left w:val="single" w:color="auto" w:sz="4" w:space="0"/>
              <w:bottom w:val="single" w:color="auto" w:sz="4" w:space="0"/>
              <w:right w:val="single" w:color="auto" w:sz="4" w:space="0"/>
            </w:tcBorders>
            <w:vAlign w:val="center"/>
          </w:tcPr>
          <w:p w14:paraId="4A6E3396">
            <w:pPr>
              <w:pStyle w:val="1306"/>
              <w:ind w:left="0" w:firstLine="0"/>
              <w:jc w:val="left"/>
              <w:rPr>
                <w:rFonts w:ascii="宋体" w:hAnsi="宋体"/>
                <w:sz w:val="21"/>
                <w:szCs w:val="21"/>
              </w:rPr>
            </w:pPr>
            <w:r>
              <w:rPr>
                <w:rFonts w:hint="eastAsia" w:ascii="宋体" w:hAnsi="宋体"/>
                <w:sz w:val="21"/>
                <w:szCs w:val="21"/>
              </w:rPr>
              <w:t>交换容量应≥758Gbps，包转发率应≥276Mpps。</w:t>
            </w:r>
          </w:p>
        </w:tc>
      </w:tr>
      <w:tr w14:paraId="14456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 w:hRule="atLeast"/>
        </w:trPr>
        <w:tc>
          <w:tcPr>
            <w:tcW w:w="1714" w:type="dxa"/>
            <w:tcBorders>
              <w:top w:val="single" w:color="auto" w:sz="4" w:space="0"/>
              <w:left w:val="single" w:color="auto" w:sz="4" w:space="0"/>
              <w:bottom w:val="single" w:color="auto" w:sz="4" w:space="0"/>
              <w:right w:val="single" w:color="auto" w:sz="4" w:space="0"/>
            </w:tcBorders>
            <w:vAlign w:val="center"/>
          </w:tcPr>
          <w:p w14:paraId="192406EF">
            <w:pPr>
              <w:pStyle w:val="1306"/>
              <w:ind w:left="0" w:firstLine="0"/>
              <w:rPr>
                <w:rFonts w:ascii="宋体" w:hAnsi="宋体"/>
                <w:sz w:val="21"/>
                <w:szCs w:val="21"/>
              </w:rPr>
            </w:pPr>
            <w:r>
              <w:rPr>
                <w:rFonts w:hint="eastAsia" w:ascii="宋体" w:hAnsi="宋体"/>
                <w:sz w:val="21"/>
                <w:szCs w:val="21"/>
              </w:rPr>
              <w:t>接口能力</w:t>
            </w:r>
          </w:p>
        </w:tc>
        <w:tc>
          <w:tcPr>
            <w:tcW w:w="6662" w:type="dxa"/>
            <w:tcBorders>
              <w:top w:val="single" w:color="auto" w:sz="4" w:space="0"/>
              <w:left w:val="single" w:color="auto" w:sz="4" w:space="0"/>
              <w:bottom w:val="single" w:color="auto" w:sz="4" w:space="0"/>
              <w:right w:val="single" w:color="auto" w:sz="4" w:space="0"/>
            </w:tcBorders>
            <w:vAlign w:val="center"/>
          </w:tcPr>
          <w:p w14:paraId="73D83D99">
            <w:pPr>
              <w:pStyle w:val="1306"/>
              <w:ind w:left="0" w:firstLine="0"/>
              <w:jc w:val="left"/>
              <w:rPr>
                <w:rFonts w:ascii="宋体" w:hAnsi="宋体"/>
                <w:sz w:val="21"/>
                <w:szCs w:val="21"/>
              </w:rPr>
            </w:pPr>
            <w:r>
              <w:rPr>
                <w:rFonts w:hint="eastAsia" w:ascii="宋体" w:hAnsi="宋体"/>
                <w:sz w:val="21"/>
                <w:szCs w:val="21"/>
              </w:rPr>
              <w:t>1GE电口≥48个，10GE光口≥4个，业务扩展插槽≥1。</w:t>
            </w:r>
          </w:p>
        </w:tc>
      </w:tr>
      <w:tr w14:paraId="01B95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94" w:hRule="atLeast"/>
        </w:trPr>
        <w:tc>
          <w:tcPr>
            <w:tcW w:w="1714" w:type="dxa"/>
            <w:tcBorders>
              <w:top w:val="single" w:color="auto" w:sz="4" w:space="0"/>
              <w:left w:val="single" w:color="auto" w:sz="4" w:space="0"/>
              <w:bottom w:val="single" w:color="auto" w:sz="4" w:space="0"/>
              <w:right w:val="single" w:color="auto" w:sz="4" w:space="0"/>
            </w:tcBorders>
            <w:vAlign w:val="center"/>
          </w:tcPr>
          <w:p w14:paraId="5D41F0CD">
            <w:pPr>
              <w:pStyle w:val="1306"/>
              <w:ind w:left="0" w:firstLine="0"/>
              <w:rPr>
                <w:rFonts w:ascii="宋体" w:hAnsi="宋体"/>
                <w:sz w:val="21"/>
                <w:szCs w:val="21"/>
              </w:rPr>
            </w:pPr>
            <w:r>
              <w:rPr>
                <w:rFonts w:hint="eastAsia" w:ascii="宋体" w:hAnsi="宋体"/>
                <w:sz w:val="21"/>
                <w:szCs w:val="21"/>
              </w:rPr>
              <w:t>虚拟化</w:t>
            </w:r>
          </w:p>
        </w:tc>
        <w:tc>
          <w:tcPr>
            <w:tcW w:w="6662" w:type="dxa"/>
            <w:tcBorders>
              <w:top w:val="single" w:color="auto" w:sz="4" w:space="0"/>
              <w:left w:val="single" w:color="auto" w:sz="4" w:space="0"/>
              <w:bottom w:val="single" w:color="auto" w:sz="4" w:space="0"/>
              <w:right w:val="single" w:color="auto" w:sz="4" w:space="0"/>
            </w:tcBorders>
            <w:vAlign w:val="center"/>
          </w:tcPr>
          <w:p w14:paraId="65135AF4">
            <w:pPr>
              <w:pStyle w:val="1306"/>
              <w:ind w:left="0" w:firstLine="0"/>
              <w:jc w:val="left"/>
              <w:rPr>
                <w:rFonts w:ascii="宋体" w:hAnsi="宋体"/>
                <w:sz w:val="21"/>
                <w:szCs w:val="21"/>
              </w:rPr>
            </w:pPr>
            <w:r>
              <w:rPr>
                <w:rFonts w:hint="eastAsia" w:ascii="宋体" w:hAnsi="宋体"/>
                <w:sz w:val="21"/>
                <w:szCs w:val="21"/>
              </w:rPr>
              <w:t>支持M-LAG技术，实现多台设备间的链路聚合。支持多虚一技术，实现单一界面管理多台设备。</w:t>
            </w:r>
          </w:p>
        </w:tc>
      </w:tr>
      <w:tr w14:paraId="2E2E0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94" w:hRule="atLeast"/>
        </w:trPr>
        <w:tc>
          <w:tcPr>
            <w:tcW w:w="1714" w:type="dxa"/>
            <w:tcBorders>
              <w:top w:val="single" w:color="auto" w:sz="4" w:space="0"/>
              <w:left w:val="single" w:color="auto" w:sz="4" w:space="0"/>
              <w:bottom w:val="single" w:color="auto" w:sz="4" w:space="0"/>
              <w:right w:val="single" w:color="auto" w:sz="4" w:space="0"/>
            </w:tcBorders>
            <w:vAlign w:val="center"/>
          </w:tcPr>
          <w:p w14:paraId="69BA38B6">
            <w:pPr>
              <w:pStyle w:val="1306"/>
              <w:ind w:left="0" w:firstLine="0"/>
              <w:rPr>
                <w:rFonts w:ascii="宋体" w:hAnsi="宋体"/>
                <w:sz w:val="21"/>
                <w:szCs w:val="21"/>
              </w:rPr>
            </w:pPr>
            <w:r>
              <w:rPr>
                <w:rFonts w:hint="eastAsia" w:ascii="宋体" w:hAnsi="宋体"/>
                <w:sz w:val="21"/>
                <w:szCs w:val="21"/>
              </w:rPr>
              <w:t>功能</w:t>
            </w:r>
          </w:p>
        </w:tc>
        <w:tc>
          <w:tcPr>
            <w:tcW w:w="6662" w:type="dxa"/>
            <w:tcBorders>
              <w:top w:val="single" w:color="auto" w:sz="4" w:space="0"/>
              <w:left w:val="single" w:color="auto" w:sz="4" w:space="0"/>
              <w:bottom w:val="single" w:color="auto" w:sz="4" w:space="0"/>
              <w:right w:val="single" w:color="auto" w:sz="4" w:space="0"/>
            </w:tcBorders>
            <w:vAlign w:val="center"/>
          </w:tcPr>
          <w:p w14:paraId="7193A5E1">
            <w:pPr>
              <w:widowControl/>
              <w:ind w:left="0" w:firstLine="0"/>
              <w:rPr>
                <w:rFonts w:ascii="宋体" w:hAnsi="宋体" w:cs="宋体"/>
                <w:sz w:val="21"/>
                <w:szCs w:val="21"/>
              </w:rPr>
            </w:pPr>
            <w:r>
              <w:rPr>
                <w:rFonts w:hint="eastAsia" w:ascii="宋体" w:hAnsi="宋体" w:cs="宋体"/>
                <w:sz w:val="21"/>
                <w:szCs w:val="21"/>
              </w:rPr>
              <w:t>支持4K VLAN，支持QinQ、支持STP/RSTP/MSTP，支持端口镜像，流镜像及远程镜像；</w:t>
            </w:r>
          </w:p>
          <w:p w14:paraId="21C5076E">
            <w:pPr>
              <w:widowControl/>
              <w:ind w:left="0" w:firstLine="0"/>
              <w:rPr>
                <w:rFonts w:ascii="宋体" w:hAnsi="宋体" w:cs="宋体"/>
                <w:sz w:val="21"/>
                <w:szCs w:val="21"/>
              </w:rPr>
            </w:pPr>
            <w:r>
              <w:rPr>
                <w:rFonts w:hint="eastAsia" w:ascii="宋体" w:hAnsi="宋体" w:cs="宋体"/>
                <w:sz w:val="21"/>
                <w:szCs w:val="21"/>
              </w:rPr>
              <w:t>支持IPv4静态路由，RIPv1&amp;v2，OSPF，BGP，ECMP，PBR；</w:t>
            </w:r>
          </w:p>
          <w:p w14:paraId="4E73D1AD">
            <w:pPr>
              <w:widowControl/>
              <w:ind w:left="0" w:firstLine="0"/>
              <w:rPr>
                <w:rFonts w:ascii="宋体" w:hAnsi="宋体" w:cs="宋体"/>
                <w:sz w:val="21"/>
                <w:szCs w:val="21"/>
              </w:rPr>
            </w:pPr>
            <w:r>
              <w:rPr>
                <w:rFonts w:hint="eastAsia" w:ascii="宋体" w:hAnsi="宋体" w:cs="宋体"/>
                <w:sz w:val="21"/>
                <w:szCs w:val="21"/>
              </w:rPr>
              <w:t xml:space="preserve">支持IPv6静态路由，OSPF V3，RIPng，ICMPv6，PMTU；                    </w:t>
            </w:r>
          </w:p>
          <w:p w14:paraId="6CA1E904">
            <w:pPr>
              <w:widowControl/>
              <w:ind w:left="0" w:firstLine="0"/>
              <w:rPr>
                <w:rFonts w:ascii="宋体" w:hAnsi="宋体" w:cs="宋体"/>
                <w:sz w:val="21"/>
                <w:szCs w:val="21"/>
              </w:rPr>
            </w:pPr>
            <w:r>
              <w:rPr>
                <w:rFonts w:hint="eastAsia" w:ascii="宋体" w:hAnsi="宋体" w:cs="宋体"/>
                <w:sz w:val="21"/>
                <w:szCs w:val="21"/>
              </w:rPr>
              <w:t>支持VRF功能；</w:t>
            </w:r>
          </w:p>
          <w:p w14:paraId="45455E12">
            <w:pPr>
              <w:widowControl/>
              <w:ind w:left="0" w:firstLine="0"/>
              <w:rPr>
                <w:rFonts w:ascii="宋体" w:hAnsi="宋体" w:cs="宋体"/>
                <w:sz w:val="21"/>
                <w:szCs w:val="21"/>
              </w:rPr>
            </w:pPr>
            <w:r>
              <w:rPr>
                <w:rFonts w:hint="eastAsia" w:ascii="宋体" w:hAnsi="宋体" w:cs="宋体"/>
                <w:sz w:val="21"/>
                <w:szCs w:val="21"/>
              </w:rPr>
              <w:t>支持IGMP，PIM-DM，PIM-SM，PIM-SSM，MLD v1/v2，MLD Snooping；</w:t>
            </w:r>
          </w:p>
          <w:p w14:paraId="2D15CE89">
            <w:pPr>
              <w:widowControl/>
              <w:spacing w:line="240" w:lineRule="auto"/>
              <w:ind w:left="0" w:firstLine="0"/>
              <w:rPr>
                <w:rFonts w:ascii="宋体" w:hAnsi="宋体" w:cs="宋体"/>
                <w:sz w:val="21"/>
                <w:szCs w:val="21"/>
              </w:rPr>
            </w:pPr>
            <w:r>
              <w:rPr>
                <w:rFonts w:hint="eastAsia" w:ascii="宋体" w:hAnsi="宋体" w:cs="宋体"/>
                <w:sz w:val="21"/>
                <w:szCs w:val="21"/>
              </w:rPr>
              <w:t>支持VxLAN二层/三层网关，支持VXLAN tunnel，支持VXLAN 路由。</w:t>
            </w:r>
          </w:p>
        </w:tc>
      </w:tr>
      <w:tr w14:paraId="2810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74" w:hRule="atLeast"/>
        </w:trPr>
        <w:tc>
          <w:tcPr>
            <w:tcW w:w="1714" w:type="dxa"/>
            <w:tcBorders>
              <w:top w:val="single" w:color="auto" w:sz="4" w:space="0"/>
              <w:left w:val="single" w:color="auto" w:sz="4" w:space="0"/>
              <w:bottom w:val="single" w:color="auto" w:sz="4" w:space="0"/>
              <w:right w:val="single" w:color="auto" w:sz="4" w:space="0"/>
            </w:tcBorders>
            <w:vAlign w:val="center"/>
          </w:tcPr>
          <w:p w14:paraId="4A44F065">
            <w:pPr>
              <w:pStyle w:val="1306"/>
              <w:ind w:left="0" w:firstLine="0"/>
              <w:rPr>
                <w:rFonts w:ascii="宋体" w:hAnsi="宋体"/>
                <w:sz w:val="21"/>
                <w:szCs w:val="21"/>
              </w:rPr>
            </w:pPr>
            <w:r>
              <w:rPr>
                <w:rFonts w:hint="eastAsia" w:ascii="宋体" w:hAnsi="宋体"/>
                <w:sz w:val="21"/>
                <w:szCs w:val="21"/>
              </w:rPr>
              <w:t>配置要求</w:t>
            </w:r>
          </w:p>
        </w:tc>
        <w:tc>
          <w:tcPr>
            <w:tcW w:w="6662" w:type="dxa"/>
            <w:tcBorders>
              <w:top w:val="single" w:color="auto" w:sz="4" w:space="0"/>
              <w:left w:val="single" w:color="auto" w:sz="4" w:space="0"/>
              <w:bottom w:val="single" w:color="auto" w:sz="4" w:space="0"/>
              <w:right w:val="single" w:color="auto" w:sz="4" w:space="0"/>
            </w:tcBorders>
            <w:vAlign w:val="center"/>
          </w:tcPr>
          <w:p w14:paraId="7D154902">
            <w:pPr>
              <w:pStyle w:val="1306"/>
              <w:ind w:left="0" w:firstLine="0"/>
              <w:jc w:val="left"/>
              <w:rPr>
                <w:rFonts w:ascii="宋体" w:hAnsi="宋体"/>
                <w:sz w:val="21"/>
                <w:szCs w:val="21"/>
              </w:rPr>
            </w:pPr>
            <w:r>
              <w:rPr>
                <w:rFonts w:hint="eastAsia" w:ascii="宋体" w:hAnsi="宋体"/>
                <w:sz w:val="21"/>
                <w:szCs w:val="21"/>
              </w:rPr>
              <w:t>配置双交流电源，万兆多模光模块至少2块。</w:t>
            </w:r>
          </w:p>
        </w:tc>
      </w:tr>
    </w:tbl>
    <w:p w14:paraId="69E59B00">
      <w:pPr>
        <w:widowControl/>
        <w:adjustRightInd w:val="0"/>
        <w:snapToGrid w:val="0"/>
        <w:ind w:left="0" w:firstLine="0"/>
        <w:jc w:val="both"/>
        <w:rPr>
          <w:rFonts w:ascii="宋体" w:hAnsi="宋体"/>
          <w:sz w:val="21"/>
          <w:szCs w:val="21"/>
        </w:rPr>
      </w:pPr>
    </w:p>
    <w:p w14:paraId="2EDCD436">
      <w:pPr>
        <w:pStyle w:val="5"/>
        <w:rPr>
          <w:rFonts w:hAnsi="宋体"/>
          <w:bCs w:val="0"/>
          <w:color w:val="auto"/>
          <w:szCs w:val="21"/>
          <w:lang w:val="en-US"/>
        </w:rPr>
      </w:pPr>
      <w:r>
        <w:rPr>
          <w:rFonts w:hint="eastAsia" w:ascii="宋体" w:hAnsi="宋体"/>
          <w:color w:val="auto"/>
          <w:szCs w:val="21"/>
        </w:rPr>
        <w:t>数据库管理软件</w:t>
      </w:r>
    </w:p>
    <w:tbl>
      <w:tblPr>
        <w:tblStyle w:val="87"/>
        <w:tblW w:w="8363"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6662"/>
      </w:tblGrid>
      <w:tr w14:paraId="2228E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Merge w:val="restart"/>
            <w:tcBorders>
              <w:top w:val="single" w:color="auto" w:sz="4" w:space="0"/>
              <w:left w:val="single" w:color="auto" w:sz="4" w:space="0"/>
              <w:right w:val="single" w:color="auto" w:sz="4" w:space="0"/>
            </w:tcBorders>
            <w:vAlign w:val="center"/>
          </w:tcPr>
          <w:p w14:paraId="44434D19">
            <w:pPr>
              <w:spacing w:line="276" w:lineRule="auto"/>
              <w:ind w:firstLine="0"/>
              <w:jc w:val="center"/>
              <w:rPr>
                <w:rFonts w:ascii="宋体" w:hAnsi="宋体"/>
                <w:sz w:val="21"/>
                <w:szCs w:val="21"/>
              </w:rPr>
            </w:pPr>
            <w:r>
              <w:rPr>
                <w:rFonts w:hint="eastAsia" w:ascii="宋体" w:hAnsi="宋体"/>
                <w:sz w:val="21"/>
                <w:szCs w:val="21"/>
              </w:rPr>
              <w:t>数据库管理软件</w:t>
            </w:r>
          </w:p>
        </w:tc>
        <w:tc>
          <w:tcPr>
            <w:tcW w:w="6662" w:type="dxa"/>
            <w:tcBorders>
              <w:top w:val="single" w:color="auto" w:sz="4" w:space="0"/>
              <w:left w:val="single" w:color="auto" w:sz="4" w:space="0"/>
              <w:bottom w:val="single" w:color="auto" w:sz="4" w:space="0"/>
              <w:right w:val="single" w:color="auto" w:sz="4" w:space="0"/>
            </w:tcBorders>
            <w:vAlign w:val="center"/>
          </w:tcPr>
          <w:p w14:paraId="19F58347">
            <w:pPr>
              <w:spacing w:line="276" w:lineRule="auto"/>
              <w:ind w:left="0" w:firstLine="0"/>
              <w:jc w:val="center"/>
              <w:rPr>
                <w:rFonts w:ascii="宋体" w:hAnsi="宋体"/>
                <w:sz w:val="21"/>
                <w:szCs w:val="21"/>
              </w:rPr>
            </w:pPr>
            <w:r>
              <w:rPr>
                <w:rFonts w:hint="eastAsia" w:ascii="宋体" w:hAnsi="宋体"/>
                <w:sz w:val="21"/>
                <w:szCs w:val="21"/>
              </w:rPr>
              <w:t>技术参数</w:t>
            </w:r>
          </w:p>
        </w:tc>
      </w:tr>
      <w:tr w14:paraId="68F3E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1701" w:type="dxa"/>
            <w:vMerge w:val="continue"/>
            <w:tcBorders>
              <w:left w:val="single" w:color="auto" w:sz="4" w:space="0"/>
              <w:right w:val="single" w:color="auto" w:sz="4" w:space="0"/>
            </w:tcBorders>
            <w:vAlign w:val="center"/>
          </w:tcPr>
          <w:p w14:paraId="1D27FDAF">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21AA37F2">
            <w:pPr>
              <w:widowControl/>
              <w:autoSpaceDE w:val="0"/>
              <w:autoSpaceDN w:val="0"/>
              <w:spacing w:line="276" w:lineRule="auto"/>
              <w:ind w:left="0" w:firstLine="0"/>
              <w:rPr>
                <w:rFonts w:ascii="宋体" w:hAnsi="宋体"/>
                <w:sz w:val="21"/>
                <w:szCs w:val="21"/>
              </w:rPr>
            </w:pPr>
            <w:r>
              <w:rPr>
                <w:rFonts w:hint="eastAsia" w:ascii="宋体" w:hAnsi="宋体"/>
                <w:sz w:val="21"/>
                <w:szCs w:val="21"/>
              </w:rPr>
              <w:t>兼容多种硬件体系，可运行于X</w:t>
            </w:r>
            <w:r>
              <w:rPr>
                <w:rFonts w:ascii="宋体" w:hAnsi="宋体"/>
                <w:sz w:val="21"/>
                <w:szCs w:val="21"/>
              </w:rPr>
              <w:t>86</w:t>
            </w:r>
            <w:r>
              <w:rPr>
                <w:rFonts w:hint="eastAsia" w:ascii="宋体" w:hAnsi="宋体"/>
                <w:sz w:val="21"/>
                <w:szCs w:val="21"/>
              </w:rPr>
              <w:t>、鲲鹏、海光、飞腾、龙芯、申威、兆芯等多种不同CPU架构的服务器设备，兼容主流windows、Linux、麒麟、UOS、中科方德、凝思、深之度、普华、思普等多种操作系统。</w:t>
            </w:r>
          </w:p>
        </w:tc>
      </w:tr>
      <w:tr w14:paraId="076AD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9" w:hRule="atLeast"/>
        </w:trPr>
        <w:tc>
          <w:tcPr>
            <w:tcW w:w="1701" w:type="dxa"/>
            <w:vMerge w:val="continue"/>
            <w:tcBorders>
              <w:left w:val="single" w:color="auto" w:sz="4" w:space="0"/>
              <w:right w:val="single" w:color="auto" w:sz="4" w:space="0"/>
            </w:tcBorders>
            <w:vAlign w:val="center"/>
          </w:tcPr>
          <w:p w14:paraId="0D9DC46E">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10084A30">
            <w:pPr>
              <w:widowControl/>
              <w:autoSpaceDE w:val="0"/>
              <w:autoSpaceDN w:val="0"/>
              <w:spacing w:line="276" w:lineRule="auto"/>
              <w:ind w:left="0" w:firstLine="0"/>
              <w:rPr>
                <w:rFonts w:ascii="宋体" w:hAnsi="宋体"/>
                <w:sz w:val="21"/>
                <w:szCs w:val="21"/>
              </w:rPr>
            </w:pPr>
            <w:r>
              <w:rPr>
                <w:rFonts w:hint="eastAsia" w:ascii="宋体" w:hAnsi="宋体"/>
                <w:sz w:val="21"/>
                <w:szCs w:val="21"/>
              </w:rPr>
              <w:t>兼容多种数据库开发接口与框架，包括DPI、OCI、OO</w:t>
            </w:r>
            <w:r>
              <w:rPr>
                <w:rFonts w:ascii="宋体" w:hAnsi="宋体"/>
                <w:sz w:val="21"/>
                <w:szCs w:val="21"/>
              </w:rPr>
              <w:t>4</w:t>
            </w:r>
            <w:r>
              <w:rPr>
                <w:rFonts w:hint="eastAsia" w:ascii="宋体" w:hAnsi="宋体"/>
                <w:sz w:val="21"/>
                <w:szCs w:val="21"/>
              </w:rPr>
              <w:t>O、OCCI、OOPI、OTL、QT、Pro*C、</w:t>
            </w:r>
            <w:r>
              <w:rPr>
                <w:rFonts w:ascii="宋体" w:hAnsi="宋体"/>
                <w:sz w:val="21"/>
                <w:szCs w:val="21"/>
              </w:rPr>
              <w:t>Python3</w:t>
            </w:r>
            <w:r>
              <w:rPr>
                <w:rFonts w:hint="eastAsia" w:ascii="宋体" w:hAnsi="宋体"/>
                <w:sz w:val="21"/>
                <w:szCs w:val="21"/>
              </w:rPr>
              <w:t>、</w:t>
            </w:r>
            <w:r>
              <w:rPr>
                <w:rFonts w:ascii="宋体" w:hAnsi="宋体"/>
                <w:sz w:val="21"/>
                <w:szCs w:val="21"/>
              </w:rPr>
              <w:t>django</w:t>
            </w:r>
            <w:r>
              <w:rPr>
                <w:rFonts w:hint="eastAsia" w:ascii="宋体" w:hAnsi="宋体"/>
                <w:sz w:val="21"/>
                <w:szCs w:val="21"/>
              </w:rPr>
              <w:t>、</w:t>
            </w:r>
            <w:r>
              <w:rPr>
                <w:rFonts w:ascii="宋体" w:hAnsi="宋体"/>
                <w:sz w:val="21"/>
                <w:szCs w:val="21"/>
              </w:rPr>
              <w:t>sqlalchemy</w:t>
            </w:r>
            <w:r>
              <w:rPr>
                <w:rFonts w:hint="eastAsia" w:ascii="宋体" w:hAnsi="宋体"/>
                <w:sz w:val="21"/>
                <w:szCs w:val="21"/>
              </w:rPr>
              <w:t>、</w:t>
            </w:r>
            <w:r>
              <w:rPr>
                <w:rFonts w:ascii="宋体" w:hAnsi="宋体"/>
                <w:sz w:val="21"/>
                <w:szCs w:val="21"/>
              </w:rPr>
              <w:t>JDBC</w:t>
            </w:r>
            <w:r>
              <w:rPr>
                <w:rFonts w:hint="eastAsia" w:ascii="宋体" w:hAnsi="宋体"/>
                <w:sz w:val="21"/>
                <w:szCs w:val="21"/>
              </w:rPr>
              <w:t>、</w:t>
            </w:r>
            <w:r>
              <w:rPr>
                <w:rFonts w:ascii="宋体" w:hAnsi="宋体"/>
                <w:sz w:val="21"/>
                <w:szCs w:val="21"/>
              </w:rPr>
              <w:t>hibernate</w:t>
            </w:r>
            <w:r>
              <w:rPr>
                <w:rFonts w:hint="eastAsia" w:ascii="宋体" w:hAnsi="宋体"/>
                <w:sz w:val="21"/>
                <w:szCs w:val="21"/>
              </w:rPr>
              <w:t>、</w:t>
            </w:r>
            <w:r>
              <w:rPr>
                <w:rFonts w:ascii="宋体" w:hAnsi="宋体"/>
                <w:sz w:val="21"/>
                <w:szCs w:val="21"/>
              </w:rPr>
              <w:t>.NET DATA PROVIDER</w:t>
            </w:r>
            <w:r>
              <w:rPr>
                <w:rFonts w:hint="eastAsia" w:ascii="宋体" w:hAnsi="宋体"/>
                <w:sz w:val="21"/>
                <w:szCs w:val="21"/>
              </w:rPr>
              <w:t>、</w:t>
            </w:r>
            <w:r>
              <w:rPr>
                <w:rFonts w:ascii="宋体" w:hAnsi="宋体"/>
                <w:sz w:val="21"/>
                <w:szCs w:val="21"/>
              </w:rPr>
              <w:t>EFDmProvider</w:t>
            </w:r>
            <w:r>
              <w:rPr>
                <w:rFonts w:hint="eastAsia" w:ascii="宋体" w:hAnsi="宋体"/>
                <w:sz w:val="21"/>
                <w:szCs w:val="21"/>
              </w:rPr>
              <w:t>、</w:t>
            </w:r>
            <w:r>
              <w:rPr>
                <w:rFonts w:ascii="宋体" w:hAnsi="宋体"/>
                <w:sz w:val="21"/>
                <w:szCs w:val="21"/>
              </w:rPr>
              <w:t>EFCore</w:t>
            </w:r>
            <w:r>
              <w:rPr>
                <w:rFonts w:hint="eastAsia" w:ascii="宋体" w:hAnsi="宋体"/>
                <w:sz w:val="21"/>
                <w:szCs w:val="21"/>
              </w:rPr>
              <w:t>、</w:t>
            </w:r>
            <w:r>
              <w:rPr>
                <w:rFonts w:ascii="宋体" w:hAnsi="宋体"/>
                <w:sz w:val="21"/>
                <w:szCs w:val="21"/>
              </w:rPr>
              <w:t>NHibernate</w:t>
            </w:r>
            <w:r>
              <w:rPr>
                <w:rFonts w:hint="eastAsia" w:ascii="宋体" w:hAnsi="宋体"/>
                <w:sz w:val="21"/>
                <w:szCs w:val="21"/>
              </w:rPr>
              <w:t>、DDEX插件、</w:t>
            </w:r>
            <w:r>
              <w:rPr>
                <w:rFonts w:ascii="宋体" w:hAnsi="宋体"/>
                <w:sz w:val="21"/>
                <w:szCs w:val="21"/>
              </w:rPr>
              <w:t>ODBC</w:t>
            </w:r>
            <w:r>
              <w:rPr>
                <w:rFonts w:hint="eastAsia" w:ascii="宋体" w:hAnsi="宋体"/>
                <w:sz w:val="21"/>
                <w:szCs w:val="21"/>
              </w:rPr>
              <w:t>等。</w:t>
            </w:r>
          </w:p>
        </w:tc>
      </w:tr>
      <w:tr w14:paraId="40819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trPr>
        <w:tc>
          <w:tcPr>
            <w:tcW w:w="1701" w:type="dxa"/>
            <w:vMerge w:val="continue"/>
            <w:tcBorders>
              <w:left w:val="single" w:color="auto" w:sz="4" w:space="0"/>
              <w:right w:val="single" w:color="auto" w:sz="4" w:space="0"/>
            </w:tcBorders>
            <w:vAlign w:val="center"/>
          </w:tcPr>
          <w:p w14:paraId="74D04500">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647ED79E">
            <w:pPr>
              <w:pStyle w:val="1307"/>
              <w:spacing w:line="276" w:lineRule="auto"/>
              <w:ind w:firstLine="0" w:firstLineChars="0"/>
              <w:jc w:val="left"/>
              <w:rPr>
                <w:rFonts w:ascii="宋体" w:hAnsi="宋体"/>
                <w:szCs w:val="21"/>
              </w:rPr>
            </w:pPr>
            <w:r>
              <w:rPr>
                <w:rFonts w:hint="eastAsia" w:ascii="宋体" w:hAnsi="宋体"/>
                <w:szCs w:val="21"/>
              </w:rPr>
              <w:t>支持多种索引，包括B树索引、聚集索引、唯一索引、非唯一索引、函数索引、分区索引（包括本地分区索引和全局分区索引）、位图索引、位图连接索引、空间索引、数组索引；支持创建索引时指定表空间；支持设置索引可见和不可见；支持设置索引失效；支持重建索引；支持索引监控。</w:t>
            </w:r>
          </w:p>
        </w:tc>
      </w:tr>
      <w:tr w14:paraId="20413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1701" w:type="dxa"/>
            <w:vMerge w:val="continue"/>
            <w:tcBorders>
              <w:left w:val="single" w:color="auto" w:sz="4" w:space="0"/>
              <w:right w:val="single" w:color="auto" w:sz="4" w:space="0"/>
            </w:tcBorders>
            <w:vAlign w:val="center"/>
          </w:tcPr>
          <w:p w14:paraId="295D485D">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3466B0EB">
            <w:pPr>
              <w:pStyle w:val="1307"/>
              <w:spacing w:line="276" w:lineRule="auto"/>
              <w:ind w:firstLine="0" w:firstLineChars="0"/>
              <w:jc w:val="left"/>
              <w:rPr>
                <w:rFonts w:ascii="宋体" w:hAnsi="宋体"/>
                <w:szCs w:val="21"/>
              </w:rPr>
            </w:pPr>
            <w:r>
              <w:rPr>
                <w:rFonts w:ascii="宋体" w:hAnsi="宋体"/>
                <w:szCs w:val="21"/>
              </w:rPr>
              <w:t>兼容Oracle、Mysql、SQLServer、DB2、PostgreSQL的常用系统函数</w:t>
            </w:r>
            <w:r>
              <w:rPr>
                <w:rFonts w:hint="eastAsia" w:ascii="宋体" w:hAnsi="宋体"/>
                <w:szCs w:val="21"/>
              </w:rPr>
              <w:t>；实现对数据查询语言（DQL)、数据操纵语言(DML)和数据定义语言(DDL)的兼容。</w:t>
            </w:r>
          </w:p>
        </w:tc>
      </w:tr>
      <w:tr w14:paraId="41644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701" w:type="dxa"/>
            <w:vMerge w:val="continue"/>
            <w:tcBorders>
              <w:left w:val="single" w:color="auto" w:sz="4" w:space="0"/>
              <w:right w:val="single" w:color="auto" w:sz="4" w:space="0"/>
            </w:tcBorders>
            <w:vAlign w:val="center"/>
          </w:tcPr>
          <w:p w14:paraId="760B9AC3">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48354D95">
            <w:pPr>
              <w:widowControl/>
              <w:autoSpaceDE w:val="0"/>
              <w:autoSpaceDN w:val="0"/>
              <w:spacing w:line="276" w:lineRule="auto"/>
              <w:ind w:left="0" w:firstLine="0"/>
              <w:rPr>
                <w:rFonts w:ascii="宋体" w:hAnsi="宋体"/>
                <w:sz w:val="21"/>
                <w:szCs w:val="21"/>
              </w:rPr>
            </w:pPr>
            <w:r>
              <w:rPr>
                <w:rFonts w:hint="eastAsia" w:ascii="宋体" w:hAnsi="宋体"/>
                <w:sz w:val="21"/>
                <w:szCs w:val="21"/>
              </w:rPr>
              <w:t>系统可以处理千万级别的数据，在十亿数据量级下至少100个用户同时进行单表多条件组合查询操作，返回数据条数＜200时的平均查询时间不高于170ms。</w:t>
            </w:r>
          </w:p>
        </w:tc>
      </w:tr>
      <w:tr w14:paraId="535E3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trPr>
        <w:tc>
          <w:tcPr>
            <w:tcW w:w="1701" w:type="dxa"/>
            <w:vMerge w:val="continue"/>
            <w:tcBorders>
              <w:left w:val="single" w:color="auto" w:sz="4" w:space="0"/>
              <w:right w:val="single" w:color="auto" w:sz="4" w:space="0"/>
            </w:tcBorders>
            <w:vAlign w:val="center"/>
          </w:tcPr>
          <w:p w14:paraId="0AA442C4">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58E3E75A">
            <w:pPr>
              <w:pStyle w:val="1307"/>
              <w:spacing w:line="276" w:lineRule="auto"/>
              <w:ind w:firstLine="0" w:firstLineChars="0"/>
              <w:jc w:val="left"/>
              <w:rPr>
                <w:rFonts w:ascii="宋体" w:hAnsi="宋体"/>
                <w:szCs w:val="21"/>
              </w:rPr>
            </w:pPr>
            <w:r>
              <w:rPr>
                <w:rFonts w:hint="eastAsia" w:ascii="宋体" w:hAnsi="宋体"/>
                <w:szCs w:val="21"/>
              </w:rPr>
              <w:t>数据共享集群故障切换时间测试，基于单用户查询场景、并发查询场景、并发写入场景以及并发读写混合场景的集群运行过程中，集群系统能够检测到故障并进行自动切换，故障切换的时间不超过</w:t>
            </w:r>
            <w:r>
              <w:rPr>
                <w:rFonts w:ascii="宋体" w:hAnsi="宋体"/>
                <w:szCs w:val="21"/>
              </w:rPr>
              <w:t>5</w:t>
            </w:r>
            <w:r>
              <w:rPr>
                <w:rFonts w:hint="eastAsia" w:ascii="宋体" w:hAnsi="宋体"/>
                <w:szCs w:val="21"/>
              </w:rPr>
              <w:t>s。</w:t>
            </w:r>
          </w:p>
        </w:tc>
      </w:tr>
      <w:tr w14:paraId="44B08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701" w:type="dxa"/>
            <w:vMerge w:val="continue"/>
            <w:tcBorders>
              <w:left w:val="single" w:color="auto" w:sz="4" w:space="0"/>
              <w:bottom w:val="single" w:color="auto" w:sz="4" w:space="0"/>
              <w:right w:val="single" w:color="auto" w:sz="4" w:space="0"/>
            </w:tcBorders>
            <w:vAlign w:val="center"/>
          </w:tcPr>
          <w:p w14:paraId="555732C3">
            <w:pPr>
              <w:spacing w:line="276" w:lineRule="auto"/>
              <w:ind w:firstLine="0"/>
              <w:jc w:val="center"/>
              <w:rPr>
                <w:rFonts w:ascii="宋体" w:hAnsi="宋体"/>
                <w:sz w:val="21"/>
                <w:szCs w:val="21"/>
              </w:rPr>
            </w:pPr>
          </w:p>
        </w:tc>
        <w:tc>
          <w:tcPr>
            <w:tcW w:w="6662" w:type="dxa"/>
            <w:tcBorders>
              <w:top w:val="single" w:color="auto" w:sz="4" w:space="0"/>
              <w:left w:val="single" w:color="auto" w:sz="4" w:space="0"/>
              <w:bottom w:val="single" w:color="auto" w:sz="4" w:space="0"/>
              <w:right w:val="single" w:color="auto" w:sz="4" w:space="0"/>
            </w:tcBorders>
          </w:tcPr>
          <w:p w14:paraId="349B9914">
            <w:pPr>
              <w:spacing w:line="276" w:lineRule="auto"/>
              <w:ind w:left="0" w:firstLine="0"/>
              <w:jc w:val="both"/>
              <w:rPr>
                <w:rFonts w:ascii="宋体" w:hAnsi="宋体"/>
                <w:sz w:val="21"/>
                <w:szCs w:val="21"/>
              </w:rPr>
            </w:pPr>
            <w:r>
              <w:rPr>
                <w:rFonts w:hint="eastAsia" w:ascii="宋体" w:hAnsi="宋体"/>
                <w:sz w:val="21"/>
                <w:szCs w:val="21"/>
              </w:rPr>
              <w:t>可满足当前在建人力资源管理系统信创数据库支持。</w:t>
            </w:r>
          </w:p>
        </w:tc>
      </w:tr>
    </w:tbl>
    <w:p w14:paraId="6D0BFBF7">
      <w:pPr>
        <w:ind w:left="0" w:firstLine="0"/>
      </w:pPr>
    </w:p>
    <w:p w14:paraId="6CB81A11">
      <w:pPr>
        <w:pStyle w:val="4"/>
        <w:numPr>
          <w:ilvl w:val="1"/>
          <w:numId w:val="42"/>
        </w:numPr>
        <w:ind w:left="794" w:hanging="794"/>
        <w:rPr>
          <w:sz w:val="21"/>
          <w:szCs w:val="21"/>
        </w:rPr>
      </w:pPr>
      <w:bookmarkStart w:id="3623" w:name="_Toc325"/>
      <w:bookmarkStart w:id="3624" w:name="_Toc378165075"/>
      <w:bookmarkStart w:id="3625" w:name="_Toc21812"/>
      <w:r>
        <w:rPr>
          <w:rFonts w:hint="eastAsia"/>
          <w:sz w:val="21"/>
          <w:szCs w:val="21"/>
        </w:rPr>
        <w:t>供电及接地要求</w:t>
      </w:r>
      <w:bookmarkEnd w:id="3623"/>
      <w:bookmarkEnd w:id="3624"/>
      <w:bookmarkEnd w:id="3625"/>
    </w:p>
    <w:p w14:paraId="20030B85">
      <w:pPr>
        <w:pStyle w:val="5"/>
        <w:numPr>
          <w:ilvl w:val="2"/>
          <w:numId w:val="42"/>
        </w:numPr>
        <w:rPr>
          <w:color w:val="auto"/>
          <w:szCs w:val="21"/>
        </w:rPr>
      </w:pPr>
      <w:r>
        <w:rPr>
          <w:color w:val="auto"/>
          <w:szCs w:val="21"/>
        </w:rPr>
        <w:t>在控制中心仅提供220V交流电源。投标人应根据以上要求确定设备供电方式。设备所需的其它类型的电源由投标人自配电源单元解决。</w:t>
      </w:r>
    </w:p>
    <w:p w14:paraId="466BE731">
      <w:pPr>
        <w:pStyle w:val="5"/>
        <w:numPr>
          <w:ilvl w:val="2"/>
          <w:numId w:val="42"/>
        </w:numPr>
        <w:rPr>
          <w:color w:val="auto"/>
          <w:szCs w:val="21"/>
        </w:rPr>
      </w:pPr>
      <w:r>
        <w:rPr>
          <w:color w:val="auto"/>
          <w:szCs w:val="21"/>
        </w:rPr>
        <w:t>投标人应提供所有设备的功耗指标（包括每种插板的功耗、整机及外围设备功耗）、所有设备电源和耗电量要求、设备散热指标、接地电阻要求。</w:t>
      </w:r>
    </w:p>
    <w:p w14:paraId="70A892CF">
      <w:pPr>
        <w:pStyle w:val="5"/>
        <w:numPr>
          <w:ilvl w:val="2"/>
          <w:numId w:val="42"/>
        </w:numPr>
        <w:rPr>
          <w:color w:val="auto"/>
          <w:szCs w:val="21"/>
        </w:rPr>
      </w:pPr>
      <w:r>
        <w:rPr>
          <w:color w:val="auto"/>
          <w:szCs w:val="21"/>
        </w:rPr>
        <w:t>设备接地要求：本系统室内设备的接地在设备室的综合接地箱上，接地电阻不大于1欧姆。</w:t>
      </w:r>
      <w:r>
        <w:rPr>
          <w:rFonts w:hint="eastAsia"/>
          <w:color w:val="auto"/>
          <w:szCs w:val="21"/>
        </w:rPr>
        <w:t>本</w:t>
      </w:r>
      <w:r>
        <w:rPr>
          <w:color w:val="auto"/>
          <w:szCs w:val="21"/>
        </w:rPr>
        <w:t>系统</w:t>
      </w:r>
      <w:r>
        <w:rPr>
          <w:rFonts w:hint="eastAsia"/>
          <w:color w:val="auto"/>
          <w:szCs w:val="21"/>
        </w:rPr>
        <w:t>设备室内所需的接地线由本系统负责提供。</w:t>
      </w:r>
    </w:p>
    <w:p w14:paraId="51417DC6">
      <w:pPr>
        <w:pStyle w:val="5"/>
        <w:numPr>
          <w:ilvl w:val="2"/>
          <w:numId w:val="42"/>
        </w:numPr>
        <w:rPr>
          <w:color w:val="auto"/>
          <w:szCs w:val="21"/>
        </w:rPr>
        <w:sectPr>
          <w:footerReference r:id="rId18" w:type="first"/>
          <w:headerReference r:id="rId16" w:type="even"/>
          <w:footerReference r:id="rId17" w:type="even"/>
          <w:pgSz w:w="11906" w:h="16838"/>
          <w:pgMar w:top="1418" w:right="1418" w:bottom="1418" w:left="1418" w:header="851" w:footer="851" w:gutter="0"/>
          <w:cols w:space="720" w:num="1"/>
          <w:docGrid w:linePitch="312" w:charSpace="0"/>
        </w:sectPr>
      </w:pPr>
      <w:r>
        <w:rPr>
          <w:rFonts w:hint="eastAsia"/>
          <w:color w:val="auto"/>
          <w:szCs w:val="21"/>
        </w:rPr>
        <w:t>防雷要求：投标人应考虑控制中心所有在本招标范围内的设备和线缆的防雷。投标人应按照《建筑物电子信息系统防雷技术规范》（GB50343-2012）提出本系统具体防雷方案，费用包含在总价中。</w:t>
      </w:r>
    </w:p>
    <w:p w14:paraId="27C86D90">
      <w:pPr>
        <w:pStyle w:val="3"/>
        <w:numPr>
          <w:ilvl w:val="0"/>
          <w:numId w:val="0"/>
        </w:numPr>
        <w:ind w:left="432"/>
        <w:jc w:val="center"/>
        <w:rPr>
          <w:sz w:val="21"/>
          <w:szCs w:val="21"/>
        </w:rPr>
        <w:sectPr>
          <w:pgSz w:w="11906" w:h="16838"/>
          <w:pgMar w:top="1418" w:right="1418" w:bottom="1418" w:left="1418" w:header="851" w:footer="851" w:gutter="0"/>
          <w:cols w:space="720" w:num="1"/>
          <w:docGrid w:linePitch="326" w:charSpace="0"/>
        </w:sectPr>
      </w:pPr>
      <w:bookmarkStart w:id="3626" w:name="_Toc377"/>
      <w:bookmarkStart w:id="3627" w:name="_Toc11802"/>
      <w:bookmarkStart w:id="3628" w:name="_Toc360180756"/>
      <w:r>
        <w:rPr>
          <w:rFonts w:hint="eastAsia"/>
          <w:sz w:val="52"/>
          <w:szCs w:val="52"/>
        </w:rPr>
        <w:t>第三章接口技术要求</w:t>
      </w:r>
      <w:bookmarkEnd w:id="3626"/>
      <w:bookmarkEnd w:id="3627"/>
      <w:bookmarkEnd w:id="3628"/>
    </w:p>
    <w:p w14:paraId="4FCA93EF">
      <w:pPr>
        <w:pStyle w:val="3"/>
        <w:pageBreakBefore/>
        <w:widowControl/>
        <w:numPr>
          <w:ilvl w:val="0"/>
          <w:numId w:val="43"/>
        </w:numPr>
        <w:autoSpaceDE/>
        <w:adjustRightInd w:val="0"/>
        <w:snapToGrid w:val="0"/>
        <w:spacing w:before="0" w:after="0"/>
        <w:rPr>
          <w:rFonts w:ascii="Times New Roman" w:hAnsi="Times New Roman" w:eastAsia="宋体"/>
          <w:b/>
          <w:bCs/>
          <w:sz w:val="21"/>
          <w:szCs w:val="21"/>
        </w:rPr>
      </w:pPr>
      <w:bookmarkStart w:id="3629" w:name="_Toc160699576"/>
      <w:bookmarkStart w:id="3630" w:name="_Toc32399"/>
      <w:bookmarkStart w:id="3631" w:name="_Toc360180757"/>
      <w:bookmarkStart w:id="3632" w:name="_Toc354403278"/>
      <w:bookmarkStart w:id="3633" w:name="_Toc7855"/>
      <w:bookmarkStart w:id="3634" w:name="_Toc360180770"/>
      <w:r>
        <w:rPr>
          <w:rFonts w:hint="eastAsia" w:ascii="Times New Roman" w:hAnsi="Times New Roman" w:eastAsia="宋体"/>
          <w:b/>
          <w:bCs/>
          <w:sz w:val="21"/>
          <w:szCs w:val="21"/>
        </w:rPr>
        <w:t>总则</w:t>
      </w:r>
      <w:bookmarkEnd w:id="3629"/>
      <w:bookmarkEnd w:id="3630"/>
      <w:bookmarkEnd w:id="3631"/>
      <w:bookmarkEnd w:id="3632"/>
      <w:bookmarkEnd w:id="3633"/>
    </w:p>
    <w:p w14:paraId="6D738899">
      <w:pPr>
        <w:pStyle w:val="4"/>
        <w:rPr>
          <w:sz w:val="21"/>
          <w:szCs w:val="21"/>
        </w:rPr>
      </w:pPr>
      <w:bookmarkStart w:id="3635" w:name="_Toc4900"/>
      <w:bookmarkStart w:id="3636" w:name="_Toc360180758"/>
      <w:bookmarkStart w:id="3637" w:name="_Toc354403279"/>
      <w:bookmarkStart w:id="3638" w:name="_Toc3853"/>
      <w:bookmarkStart w:id="3639" w:name="_Toc160699577"/>
      <w:r>
        <w:rPr>
          <w:rFonts w:hint="eastAsia"/>
          <w:sz w:val="21"/>
          <w:szCs w:val="21"/>
        </w:rPr>
        <w:t>基本要求</w:t>
      </w:r>
      <w:bookmarkEnd w:id="3635"/>
      <w:bookmarkEnd w:id="3636"/>
      <w:bookmarkEnd w:id="3637"/>
      <w:bookmarkEnd w:id="3638"/>
      <w:bookmarkEnd w:id="3639"/>
    </w:p>
    <w:p w14:paraId="1A0D8572">
      <w:pPr>
        <w:pStyle w:val="5"/>
        <w:ind w:left="284" w:hanging="58"/>
        <w:rPr>
          <w:color w:val="auto"/>
          <w:szCs w:val="21"/>
        </w:rPr>
      </w:pPr>
      <w:bookmarkStart w:id="3640" w:name="_Toc142795051"/>
      <w:bookmarkStart w:id="3641" w:name="_Toc137636472"/>
      <w:r>
        <w:rPr>
          <w:rFonts w:hint="eastAsia"/>
          <w:color w:val="auto"/>
          <w:szCs w:val="21"/>
        </w:rPr>
        <w:t>本接口技术要求定义本采购项目接口的划分界面和功能要求。</w:t>
      </w:r>
      <w:bookmarkEnd w:id="3640"/>
      <w:bookmarkEnd w:id="3641"/>
    </w:p>
    <w:p w14:paraId="0BDDC639">
      <w:pPr>
        <w:pStyle w:val="5"/>
        <w:ind w:left="284" w:hanging="58"/>
        <w:rPr>
          <w:color w:val="auto"/>
          <w:szCs w:val="21"/>
        </w:rPr>
      </w:pPr>
      <w:bookmarkStart w:id="3642" w:name="_Toc142795053"/>
      <w:r>
        <w:rPr>
          <w:rFonts w:hint="eastAsia"/>
          <w:color w:val="auto"/>
          <w:szCs w:val="21"/>
        </w:rPr>
        <w:t>本接口技术要求与招标文件的相关章节相关联，投标人应负责并保证属于接口的所有要求都能得到完善的解决和执行。</w:t>
      </w:r>
      <w:bookmarkEnd w:id="3642"/>
    </w:p>
    <w:p w14:paraId="0D8A8DBE">
      <w:pPr>
        <w:pStyle w:val="5"/>
        <w:ind w:left="284" w:hanging="58"/>
        <w:rPr>
          <w:color w:val="auto"/>
          <w:szCs w:val="21"/>
        </w:rPr>
      </w:pPr>
      <w:bookmarkStart w:id="3643" w:name="_Toc142795058"/>
      <w:r>
        <w:rPr>
          <w:rFonts w:hint="eastAsia"/>
          <w:color w:val="auto"/>
          <w:szCs w:val="21"/>
        </w:rPr>
        <w:t>本接口技术要求规定的接口类型、接口数量、接口位置及标准为暂定，最终的接口标准在</w:t>
      </w:r>
      <w:r>
        <w:rPr>
          <w:rFonts w:hint="eastAsia"/>
          <w:color w:val="auto"/>
          <w:szCs w:val="21"/>
          <w:lang w:eastAsia="zh-CN"/>
        </w:rPr>
        <w:t>技术联络</w:t>
      </w:r>
      <w:r>
        <w:rPr>
          <w:rFonts w:hint="eastAsia"/>
          <w:color w:val="auto"/>
          <w:szCs w:val="21"/>
        </w:rPr>
        <w:t>阶段经各方协商后确定，投标人应按各方确认后的接口标准供货。</w:t>
      </w:r>
      <w:bookmarkEnd w:id="3643"/>
    </w:p>
    <w:p w14:paraId="475DF30D">
      <w:pPr>
        <w:pStyle w:val="5"/>
        <w:ind w:left="284" w:hanging="58"/>
        <w:rPr>
          <w:color w:val="auto"/>
          <w:szCs w:val="21"/>
        </w:rPr>
      </w:pPr>
      <w:r>
        <w:rPr>
          <w:rFonts w:hint="eastAsia"/>
          <w:color w:val="auto"/>
          <w:szCs w:val="21"/>
        </w:rPr>
        <w:t>当接口设计出现分歧时，投标人必须无条件服从招标人的协调及裁定的结果，但总价不变。</w:t>
      </w:r>
    </w:p>
    <w:p w14:paraId="59D96749">
      <w:pPr>
        <w:pStyle w:val="5"/>
        <w:ind w:left="284" w:hanging="58"/>
        <w:rPr>
          <w:color w:val="auto"/>
          <w:szCs w:val="21"/>
        </w:rPr>
      </w:pPr>
      <w:r>
        <w:rPr>
          <w:rFonts w:hint="eastAsia"/>
          <w:color w:val="auto"/>
          <w:szCs w:val="21"/>
        </w:rPr>
        <w:t>当接口测试出现分歧时，应按照通用技术要求中的相关处理原则处理。</w:t>
      </w:r>
    </w:p>
    <w:p w14:paraId="020B4E32">
      <w:pPr>
        <w:pStyle w:val="5"/>
        <w:ind w:left="284" w:hanging="58"/>
        <w:rPr>
          <w:color w:val="auto"/>
          <w:szCs w:val="21"/>
        </w:rPr>
      </w:pPr>
      <w:bookmarkStart w:id="3644" w:name="_Toc142795059"/>
      <w:r>
        <w:rPr>
          <w:rFonts w:hint="eastAsia"/>
          <w:color w:val="auto"/>
          <w:szCs w:val="21"/>
        </w:rPr>
        <w:t>本接口技术要求中涉及的有关接口设备及材料发送的电磁辐射须符合相关标准的规定，且接口设备及材料须在现场电磁环境中安全、稳定、可靠地工作。</w:t>
      </w:r>
      <w:bookmarkEnd w:id="3644"/>
    </w:p>
    <w:p w14:paraId="49258F2C">
      <w:pPr>
        <w:pStyle w:val="5"/>
        <w:ind w:left="284" w:hanging="58"/>
        <w:rPr>
          <w:color w:val="auto"/>
          <w:szCs w:val="21"/>
        </w:rPr>
      </w:pPr>
      <w:bookmarkStart w:id="3645" w:name="_Toc142795060"/>
      <w:r>
        <w:rPr>
          <w:rFonts w:hint="eastAsia"/>
          <w:color w:val="auto"/>
          <w:szCs w:val="21"/>
        </w:rPr>
        <w:t>投标人须完成相关接口的设备设计、供货、安装督导、验收等各阶段所有工作事宜</w:t>
      </w:r>
      <w:bookmarkEnd w:id="3645"/>
      <w:r>
        <w:rPr>
          <w:rFonts w:hint="eastAsia"/>
          <w:color w:val="auto"/>
          <w:szCs w:val="21"/>
        </w:rPr>
        <w:t>。</w:t>
      </w:r>
    </w:p>
    <w:p w14:paraId="464B8AC5">
      <w:pPr>
        <w:pStyle w:val="5"/>
        <w:ind w:left="284" w:hanging="58"/>
        <w:rPr>
          <w:color w:val="auto"/>
          <w:szCs w:val="21"/>
        </w:rPr>
      </w:pPr>
      <w:r>
        <w:rPr>
          <w:rFonts w:hint="eastAsia"/>
          <w:color w:val="auto"/>
          <w:szCs w:val="21"/>
        </w:rPr>
        <w:t>本项目所有接口的费用均包含在总价内。</w:t>
      </w:r>
    </w:p>
    <w:p w14:paraId="436F894C">
      <w:pPr>
        <w:pStyle w:val="4"/>
        <w:rPr>
          <w:sz w:val="21"/>
          <w:szCs w:val="21"/>
        </w:rPr>
      </w:pPr>
      <w:bookmarkStart w:id="3646" w:name="_Toc296528913"/>
      <w:bookmarkStart w:id="3647" w:name="_Toc354403280"/>
      <w:bookmarkStart w:id="3648" w:name="_Toc24062"/>
      <w:bookmarkStart w:id="3649" w:name="_Toc8409"/>
      <w:bookmarkStart w:id="3650" w:name="_Toc288115617"/>
      <w:bookmarkStart w:id="3651" w:name="_Toc160699578"/>
      <w:bookmarkStart w:id="3652" w:name="_Toc287529449"/>
      <w:bookmarkStart w:id="3653" w:name="_Toc360180759"/>
      <w:r>
        <w:rPr>
          <w:rFonts w:hint="eastAsia"/>
          <w:sz w:val="21"/>
          <w:szCs w:val="21"/>
        </w:rPr>
        <w:t>专业名称与代码</w:t>
      </w:r>
      <w:bookmarkEnd w:id="3646"/>
      <w:bookmarkEnd w:id="3647"/>
      <w:bookmarkEnd w:id="3648"/>
      <w:bookmarkEnd w:id="3649"/>
      <w:bookmarkEnd w:id="3650"/>
      <w:bookmarkEnd w:id="3651"/>
      <w:bookmarkEnd w:id="3652"/>
      <w:bookmarkEnd w:id="3653"/>
    </w:p>
    <w:p w14:paraId="2B35270D">
      <w:pPr>
        <w:rPr>
          <w:sz w:val="21"/>
          <w:szCs w:val="21"/>
        </w:rPr>
      </w:pPr>
      <w:r>
        <w:rPr>
          <w:rFonts w:hint="eastAsia"/>
          <w:sz w:val="21"/>
          <w:szCs w:val="21"/>
        </w:rPr>
        <w:t>专业名称与代码</w:t>
      </w:r>
      <w:r>
        <w:rPr>
          <w:sz w:val="21"/>
          <w:szCs w:val="21"/>
        </w:rPr>
        <w:t>表</w:t>
      </w:r>
      <w:r>
        <w:rPr>
          <w:rFonts w:hint="eastAsia"/>
          <w:sz w:val="21"/>
          <w:szCs w:val="21"/>
        </w:rPr>
        <w:t>1.2</w:t>
      </w:r>
      <w:r>
        <w:rPr>
          <w:sz w:val="21"/>
          <w:szCs w:val="21"/>
        </w:rPr>
        <w:t>-1</w:t>
      </w:r>
    </w:p>
    <w:tbl>
      <w:tblPr>
        <w:tblStyle w:val="87"/>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8"/>
        <w:gridCol w:w="3575"/>
        <w:gridCol w:w="3663"/>
      </w:tblGrid>
      <w:tr w14:paraId="3BBFB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2048" w:type="dxa"/>
            <w:tcBorders>
              <w:top w:val="single" w:color="auto" w:sz="4" w:space="0"/>
              <w:left w:val="single" w:color="auto" w:sz="4" w:space="0"/>
              <w:bottom w:val="single" w:color="auto" w:sz="4" w:space="0"/>
              <w:right w:val="single" w:color="auto" w:sz="4" w:space="0"/>
            </w:tcBorders>
            <w:shd w:val="clear" w:color="auto" w:fill="C0C0C0"/>
            <w:vAlign w:val="center"/>
          </w:tcPr>
          <w:p w14:paraId="5D684CB0">
            <w:pPr>
              <w:pStyle w:val="1208"/>
              <w:rPr>
                <w:szCs w:val="21"/>
              </w:rPr>
            </w:pPr>
            <w:r>
              <w:rPr>
                <w:rFonts w:hint="eastAsia"/>
                <w:szCs w:val="21"/>
              </w:rPr>
              <w:t>序号</w:t>
            </w:r>
          </w:p>
        </w:tc>
        <w:tc>
          <w:tcPr>
            <w:tcW w:w="3575" w:type="dxa"/>
            <w:tcBorders>
              <w:top w:val="single" w:color="auto" w:sz="4" w:space="0"/>
              <w:left w:val="single" w:color="auto" w:sz="4" w:space="0"/>
              <w:bottom w:val="single" w:color="auto" w:sz="4" w:space="0"/>
              <w:right w:val="single" w:color="auto" w:sz="4" w:space="0"/>
            </w:tcBorders>
            <w:shd w:val="clear" w:color="auto" w:fill="C0C0C0"/>
            <w:vAlign w:val="center"/>
          </w:tcPr>
          <w:p w14:paraId="0DEC4DBC">
            <w:pPr>
              <w:pStyle w:val="1208"/>
              <w:rPr>
                <w:szCs w:val="21"/>
              </w:rPr>
            </w:pPr>
            <w:r>
              <w:rPr>
                <w:rFonts w:hint="eastAsia"/>
                <w:szCs w:val="21"/>
              </w:rPr>
              <w:t>专业名称</w:t>
            </w:r>
          </w:p>
        </w:tc>
        <w:tc>
          <w:tcPr>
            <w:tcW w:w="3663" w:type="dxa"/>
            <w:tcBorders>
              <w:top w:val="single" w:color="auto" w:sz="4" w:space="0"/>
              <w:left w:val="single" w:color="auto" w:sz="4" w:space="0"/>
              <w:bottom w:val="single" w:color="auto" w:sz="4" w:space="0"/>
              <w:right w:val="single" w:color="auto" w:sz="4" w:space="0"/>
            </w:tcBorders>
            <w:shd w:val="clear" w:color="auto" w:fill="C0C0C0"/>
            <w:vAlign w:val="center"/>
          </w:tcPr>
          <w:p w14:paraId="5D5882EE">
            <w:pPr>
              <w:pStyle w:val="1208"/>
              <w:rPr>
                <w:szCs w:val="21"/>
              </w:rPr>
            </w:pPr>
            <w:r>
              <w:rPr>
                <w:rFonts w:hint="eastAsia"/>
                <w:szCs w:val="21"/>
              </w:rPr>
              <w:t>代码</w:t>
            </w:r>
          </w:p>
        </w:tc>
      </w:tr>
      <w:tr w14:paraId="43D02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13641A71">
            <w:pPr>
              <w:pStyle w:val="1208"/>
              <w:rPr>
                <w:szCs w:val="21"/>
              </w:rPr>
            </w:pPr>
            <w:r>
              <w:rPr>
                <w:rFonts w:hint="eastAsia"/>
                <w:szCs w:val="21"/>
              </w:rPr>
              <w:t>1</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5E1AEC82">
            <w:pPr>
              <w:pStyle w:val="1208"/>
              <w:rPr>
                <w:szCs w:val="21"/>
              </w:rPr>
            </w:pPr>
            <w:r>
              <w:rPr>
                <w:rFonts w:hint="eastAsia"/>
                <w:szCs w:val="21"/>
              </w:rPr>
              <w:t>物理接口</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4FE48C60">
            <w:pPr>
              <w:pStyle w:val="1208"/>
              <w:rPr>
                <w:szCs w:val="21"/>
              </w:rPr>
            </w:pPr>
            <w:r>
              <w:rPr>
                <w:rFonts w:hint="eastAsia"/>
                <w:szCs w:val="21"/>
              </w:rPr>
              <w:t>P</w:t>
            </w:r>
          </w:p>
        </w:tc>
      </w:tr>
      <w:tr w14:paraId="2E74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0BEC2CC4">
            <w:pPr>
              <w:pStyle w:val="1208"/>
              <w:rPr>
                <w:szCs w:val="21"/>
              </w:rPr>
            </w:pPr>
            <w:r>
              <w:rPr>
                <w:rFonts w:hint="eastAsia"/>
                <w:szCs w:val="21"/>
              </w:rPr>
              <w:t>2</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6EB4166B">
            <w:pPr>
              <w:pStyle w:val="1208"/>
              <w:rPr>
                <w:szCs w:val="21"/>
              </w:rPr>
            </w:pPr>
            <w:r>
              <w:rPr>
                <w:rFonts w:hint="eastAsia"/>
                <w:szCs w:val="21"/>
              </w:rPr>
              <w:t>参数及资料交换接口</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58727827">
            <w:pPr>
              <w:pStyle w:val="1208"/>
              <w:rPr>
                <w:szCs w:val="21"/>
              </w:rPr>
            </w:pPr>
            <w:r>
              <w:rPr>
                <w:rFonts w:hint="eastAsia"/>
                <w:szCs w:val="21"/>
              </w:rPr>
              <w:t>D</w:t>
            </w:r>
          </w:p>
        </w:tc>
      </w:tr>
      <w:tr w14:paraId="4E854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74661D01">
            <w:pPr>
              <w:pStyle w:val="1208"/>
              <w:rPr>
                <w:szCs w:val="21"/>
              </w:rPr>
            </w:pPr>
            <w:r>
              <w:rPr>
                <w:rFonts w:hint="eastAsia"/>
                <w:szCs w:val="21"/>
              </w:rPr>
              <w:t>3</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3AC37C25">
            <w:pPr>
              <w:pStyle w:val="1208"/>
              <w:rPr>
                <w:szCs w:val="21"/>
              </w:rPr>
            </w:pPr>
            <w:r>
              <w:rPr>
                <w:rFonts w:hint="eastAsia"/>
                <w:szCs w:val="21"/>
              </w:rPr>
              <w:t>功能接口</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050BD747">
            <w:pPr>
              <w:pStyle w:val="1208"/>
              <w:rPr>
                <w:szCs w:val="21"/>
              </w:rPr>
            </w:pPr>
            <w:r>
              <w:rPr>
                <w:rFonts w:hint="eastAsia"/>
                <w:szCs w:val="21"/>
              </w:rPr>
              <w:t>F</w:t>
            </w:r>
          </w:p>
        </w:tc>
      </w:tr>
      <w:tr w14:paraId="62FA4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12FE5AEE">
            <w:pPr>
              <w:pStyle w:val="1208"/>
              <w:rPr>
                <w:szCs w:val="21"/>
              </w:rPr>
            </w:pPr>
            <w:r>
              <w:rPr>
                <w:rFonts w:hint="eastAsia"/>
                <w:szCs w:val="21"/>
              </w:rPr>
              <w:t>4</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6D49FED4">
            <w:pPr>
              <w:pStyle w:val="1208"/>
              <w:rPr>
                <w:szCs w:val="21"/>
              </w:rPr>
            </w:pPr>
            <w:r>
              <w:rPr>
                <w:rFonts w:hint="eastAsia"/>
                <w:szCs w:val="21"/>
              </w:rPr>
              <w:t>信息网络系统</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2BAD5D80">
            <w:pPr>
              <w:pStyle w:val="1208"/>
              <w:rPr>
                <w:szCs w:val="21"/>
              </w:rPr>
            </w:pPr>
            <w:r>
              <w:rPr>
                <w:rFonts w:hint="eastAsia"/>
                <w:szCs w:val="21"/>
              </w:rPr>
              <w:t>OA</w:t>
            </w:r>
          </w:p>
        </w:tc>
      </w:tr>
      <w:tr w14:paraId="4CDA2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6A922F4C">
            <w:pPr>
              <w:pStyle w:val="1208"/>
              <w:rPr>
                <w:szCs w:val="21"/>
              </w:rPr>
            </w:pPr>
            <w:r>
              <w:rPr>
                <w:rFonts w:hint="eastAsia"/>
                <w:szCs w:val="21"/>
              </w:rPr>
              <w:t>5</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35844871">
            <w:pPr>
              <w:pStyle w:val="1208"/>
              <w:rPr>
                <w:szCs w:val="21"/>
              </w:rPr>
            </w:pPr>
            <w:r>
              <w:rPr>
                <w:rFonts w:hint="eastAsia"/>
                <w:szCs w:val="21"/>
              </w:rPr>
              <w:t>电源系统</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4F565645">
            <w:pPr>
              <w:pStyle w:val="1208"/>
              <w:rPr>
                <w:szCs w:val="21"/>
              </w:rPr>
            </w:pPr>
            <w:r>
              <w:rPr>
                <w:rFonts w:hint="eastAsia"/>
                <w:szCs w:val="21"/>
              </w:rPr>
              <w:t>UPS</w:t>
            </w:r>
          </w:p>
        </w:tc>
      </w:tr>
      <w:tr w14:paraId="0F6FB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48" w:type="dxa"/>
            <w:tcBorders>
              <w:top w:val="single" w:color="auto" w:sz="4" w:space="0"/>
              <w:left w:val="single" w:color="auto" w:sz="4" w:space="0"/>
              <w:bottom w:val="single" w:color="auto" w:sz="4" w:space="0"/>
              <w:right w:val="single" w:color="auto" w:sz="4" w:space="0"/>
            </w:tcBorders>
            <w:shd w:val="clear" w:color="auto" w:fill="auto"/>
            <w:vAlign w:val="center"/>
          </w:tcPr>
          <w:p w14:paraId="35B156BC">
            <w:pPr>
              <w:pStyle w:val="1208"/>
              <w:rPr>
                <w:szCs w:val="21"/>
              </w:rPr>
            </w:pPr>
            <w:r>
              <w:rPr>
                <w:rFonts w:hint="eastAsia"/>
                <w:szCs w:val="21"/>
              </w:rPr>
              <w:t>6</w:t>
            </w:r>
          </w:p>
        </w:tc>
        <w:tc>
          <w:tcPr>
            <w:tcW w:w="3575" w:type="dxa"/>
            <w:tcBorders>
              <w:top w:val="single" w:color="auto" w:sz="4" w:space="0"/>
              <w:left w:val="single" w:color="auto" w:sz="4" w:space="0"/>
              <w:bottom w:val="single" w:color="auto" w:sz="4" w:space="0"/>
              <w:right w:val="single" w:color="auto" w:sz="4" w:space="0"/>
            </w:tcBorders>
            <w:shd w:val="clear" w:color="auto" w:fill="auto"/>
            <w:vAlign w:val="center"/>
          </w:tcPr>
          <w:p w14:paraId="61480412">
            <w:pPr>
              <w:pStyle w:val="1208"/>
              <w:rPr>
                <w:rFonts w:hint="eastAsia" w:eastAsia="宋体"/>
                <w:szCs w:val="21"/>
                <w:lang w:eastAsia="zh-CN"/>
              </w:rPr>
            </w:pPr>
            <w:r>
              <w:rPr>
                <w:rFonts w:hint="eastAsia"/>
                <w:szCs w:val="21"/>
                <w:lang w:eastAsia="zh-CN"/>
              </w:rPr>
              <w:t>管理云平台</w:t>
            </w:r>
          </w:p>
        </w:tc>
        <w:tc>
          <w:tcPr>
            <w:tcW w:w="3663" w:type="dxa"/>
            <w:tcBorders>
              <w:top w:val="single" w:color="auto" w:sz="4" w:space="0"/>
              <w:left w:val="single" w:color="auto" w:sz="4" w:space="0"/>
              <w:bottom w:val="single" w:color="auto" w:sz="4" w:space="0"/>
              <w:right w:val="single" w:color="auto" w:sz="4" w:space="0"/>
            </w:tcBorders>
            <w:shd w:val="clear" w:color="auto" w:fill="auto"/>
            <w:vAlign w:val="center"/>
          </w:tcPr>
          <w:p w14:paraId="030E446E">
            <w:pPr>
              <w:pStyle w:val="1208"/>
              <w:rPr>
                <w:szCs w:val="21"/>
              </w:rPr>
            </w:pPr>
            <w:r>
              <w:rPr>
                <w:rFonts w:hint="eastAsia"/>
                <w:szCs w:val="21"/>
              </w:rPr>
              <w:t>CP（cloud platforms）</w:t>
            </w:r>
          </w:p>
        </w:tc>
      </w:tr>
    </w:tbl>
    <w:p w14:paraId="7C255BDE">
      <w:pPr>
        <w:widowControl/>
        <w:tabs>
          <w:tab w:val="left" w:pos="1140"/>
        </w:tabs>
        <w:adjustRightInd w:val="0"/>
        <w:snapToGrid w:val="0"/>
        <w:ind w:left="480"/>
        <w:rPr>
          <w:sz w:val="21"/>
          <w:szCs w:val="21"/>
        </w:rPr>
      </w:pPr>
      <w:bookmarkStart w:id="3654" w:name="_Toc291351741"/>
      <w:bookmarkStart w:id="3655" w:name="_Toc291675562"/>
      <w:r>
        <w:rPr>
          <w:rFonts w:hint="eastAsia"/>
          <w:sz w:val="21"/>
          <w:szCs w:val="21"/>
        </w:rPr>
        <w:t>注：表中专业及设备代码仅适用于本接口技术要求。</w:t>
      </w:r>
      <w:bookmarkEnd w:id="3654"/>
      <w:bookmarkEnd w:id="3655"/>
    </w:p>
    <w:p w14:paraId="6110E4EB">
      <w:pPr>
        <w:pStyle w:val="4"/>
        <w:rPr>
          <w:sz w:val="21"/>
          <w:szCs w:val="21"/>
        </w:rPr>
      </w:pPr>
      <w:bookmarkStart w:id="3656" w:name="_Toc360180760"/>
      <w:bookmarkStart w:id="3657" w:name="_Toc15724"/>
      <w:bookmarkStart w:id="3658" w:name="_Toc354403281"/>
      <w:bookmarkStart w:id="3659" w:name="_Toc26848"/>
      <w:bookmarkStart w:id="3660" w:name="_Toc160699579"/>
      <w:r>
        <w:rPr>
          <w:rFonts w:hint="eastAsia"/>
          <w:sz w:val="21"/>
          <w:szCs w:val="21"/>
        </w:rPr>
        <w:t>接口工作范围</w:t>
      </w:r>
      <w:bookmarkEnd w:id="3656"/>
      <w:bookmarkEnd w:id="3657"/>
      <w:bookmarkEnd w:id="3658"/>
      <w:bookmarkEnd w:id="3659"/>
      <w:bookmarkEnd w:id="3660"/>
    </w:p>
    <w:p w14:paraId="21BFE74D">
      <w:pPr>
        <w:pStyle w:val="5"/>
        <w:ind w:left="284" w:hanging="58"/>
        <w:rPr>
          <w:color w:val="auto"/>
          <w:szCs w:val="21"/>
        </w:rPr>
      </w:pPr>
      <w:r>
        <w:rPr>
          <w:rFonts w:hint="eastAsia"/>
          <w:color w:val="auto"/>
          <w:szCs w:val="21"/>
        </w:rPr>
        <w:t>本项目的接口工作范围包括但不限于：</w:t>
      </w:r>
    </w:p>
    <w:p w14:paraId="796169C6">
      <w:pPr>
        <w:widowControl/>
        <w:numPr>
          <w:ilvl w:val="0"/>
          <w:numId w:val="29"/>
        </w:numPr>
        <w:adjustRightInd w:val="0"/>
        <w:snapToGrid w:val="0"/>
        <w:rPr>
          <w:sz w:val="21"/>
          <w:szCs w:val="21"/>
        </w:rPr>
      </w:pPr>
      <w:r>
        <w:rPr>
          <w:rFonts w:hint="eastAsia"/>
          <w:sz w:val="21"/>
          <w:szCs w:val="21"/>
        </w:rPr>
        <w:t>配合、协调本项目与其他专业和系统的接口；</w:t>
      </w:r>
    </w:p>
    <w:p w14:paraId="5C43E850">
      <w:pPr>
        <w:widowControl/>
        <w:numPr>
          <w:ilvl w:val="0"/>
          <w:numId w:val="29"/>
        </w:numPr>
        <w:adjustRightInd w:val="0"/>
        <w:snapToGrid w:val="0"/>
        <w:rPr>
          <w:sz w:val="21"/>
          <w:szCs w:val="21"/>
        </w:rPr>
      </w:pPr>
      <w:r>
        <w:rPr>
          <w:rFonts w:hint="eastAsia"/>
          <w:sz w:val="21"/>
          <w:szCs w:val="21"/>
        </w:rPr>
        <w:t>设计、测试与验收上述接口；</w:t>
      </w:r>
    </w:p>
    <w:p w14:paraId="7E0A3840">
      <w:pPr>
        <w:widowControl/>
        <w:numPr>
          <w:ilvl w:val="0"/>
          <w:numId w:val="29"/>
        </w:numPr>
        <w:adjustRightInd w:val="0"/>
        <w:snapToGrid w:val="0"/>
        <w:rPr>
          <w:sz w:val="21"/>
          <w:szCs w:val="21"/>
        </w:rPr>
      </w:pPr>
      <w:r>
        <w:rPr>
          <w:rFonts w:hint="eastAsia"/>
          <w:sz w:val="21"/>
          <w:szCs w:val="21"/>
        </w:rPr>
        <w:t>编制、发布接口技术规格书；</w:t>
      </w:r>
    </w:p>
    <w:p w14:paraId="333ACFF6">
      <w:pPr>
        <w:widowControl/>
        <w:numPr>
          <w:ilvl w:val="0"/>
          <w:numId w:val="29"/>
        </w:numPr>
        <w:adjustRightInd w:val="0"/>
        <w:snapToGrid w:val="0"/>
        <w:rPr>
          <w:sz w:val="21"/>
          <w:szCs w:val="21"/>
        </w:rPr>
      </w:pPr>
      <w:r>
        <w:rPr>
          <w:rFonts w:hint="eastAsia"/>
          <w:sz w:val="21"/>
          <w:szCs w:val="21"/>
        </w:rPr>
        <w:t>与相关项目集成商、部门及公司交换接口资料及信息。</w:t>
      </w:r>
    </w:p>
    <w:p w14:paraId="581B8675">
      <w:pPr>
        <w:pStyle w:val="4"/>
        <w:rPr>
          <w:sz w:val="21"/>
          <w:szCs w:val="21"/>
        </w:rPr>
      </w:pPr>
      <w:bookmarkStart w:id="3661" w:name="_Toc360180761"/>
      <w:bookmarkStart w:id="3662" w:name="_Toc354403282"/>
      <w:bookmarkStart w:id="3663" w:name="_Toc16848"/>
      <w:bookmarkStart w:id="3664" w:name="_Toc160699580"/>
      <w:bookmarkStart w:id="3665" w:name="_Toc13902"/>
      <w:r>
        <w:rPr>
          <w:rFonts w:hint="eastAsia"/>
          <w:sz w:val="21"/>
          <w:szCs w:val="21"/>
        </w:rPr>
        <w:t>接口责任</w:t>
      </w:r>
      <w:bookmarkEnd w:id="3661"/>
      <w:bookmarkEnd w:id="3662"/>
      <w:bookmarkEnd w:id="3663"/>
      <w:bookmarkEnd w:id="3664"/>
      <w:bookmarkEnd w:id="3665"/>
    </w:p>
    <w:p w14:paraId="564B3874">
      <w:pPr>
        <w:pStyle w:val="5"/>
        <w:ind w:left="284" w:hanging="58"/>
        <w:rPr>
          <w:color w:val="auto"/>
          <w:szCs w:val="21"/>
        </w:rPr>
      </w:pPr>
      <w:r>
        <w:rPr>
          <w:rFonts w:hint="eastAsia"/>
          <w:color w:val="auto"/>
          <w:szCs w:val="21"/>
        </w:rPr>
        <w:t>投标人须对本项目的接口功能、安全、接口的管理和实施负完全责任，并负有与OA运维管理单位协调和合作的责任。</w:t>
      </w:r>
    </w:p>
    <w:p w14:paraId="2CD8DB63">
      <w:pPr>
        <w:pStyle w:val="5"/>
        <w:ind w:left="284" w:hanging="58"/>
        <w:rPr>
          <w:color w:val="auto"/>
          <w:szCs w:val="21"/>
        </w:rPr>
      </w:pPr>
      <w:r>
        <w:rPr>
          <w:rFonts w:hint="eastAsia"/>
          <w:color w:val="auto"/>
          <w:szCs w:val="21"/>
        </w:rPr>
        <w:t>投标人负有本项目内部及与其他专业和系统接口的协调、安装督导、测试、管理、完善的责任，负责接口实施过程中出现问题的处理，保证接口功能的实现，体现系统功能的完整性。</w:t>
      </w:r>
    </w:p>
    <w:p w14:paraId="222B9F47">
      <w:pPr>
        <w:pStyle w:val="5"/>
        <w:ind w:left="284" w:hanging="58"/>
        <w:rPr>
          <w:color w:val="auto"/>
          <w:szCs w:val="21"/>
        </w:rPr>
      </w:pPr>
      <w:r>
        <w:rPr>
          <w:rFonts w:hint="eastAsia"/>
          <w:color w:val="auto"/>
          <w:szCs w:val="21"/>
        </w:rPr>
        <w:t>投标人应负责本项目内部及与其他专业和系统接口全过程的工作，负责牵头完成接口方式、接口协议、信息交换内容及定义等的接口</w:t>
      </w:r>
      <w:r>
        <w:rPr>
          <w:rFonts w:hint="eastAsia"/>
          <w:color w:val="auto"/>
          <w:szCs w:val="21"/>
          <w:lang w:eastAsia="zh-CN"/>
        </w:rPr>
        <w:t>技术联络</w:t>
      </w:r>
      <w:r>
        <w:rPr>
          <w:rFonts w:hint="eastAsia"/>
          <w:color w:val="auto"/>
          <w:szCs w:val="21"/>
        </w:rPr>
        <w:t>，签订接口协议和接口实施文件。</w:t>
      </w:r>
    </w:p>
    <w:p w14:paraId="25F40966">
      <w:pPr>
        <w:pStyle w:val="5"/>
        <w:ind w:left="284" w:hanging="58"/>
        <w:rPr>
          <w:color w:val="auto"/>
          <w:szCs w:val="21"/>
        </w:rPr>
      </w:pPr>
      <w:r>
        <w:rPr>
          <w:rFonts w:hint="eastAsia"/>
          <w:color w:val="auto"/>
          <w:szCs w:val="21"/>
        </w:rPr>
        <w:t>投标人须提交所有与接口相关的文件（各一份原件）供招标人保存，直到达到功能要求为止。</w:t>
      </w:r>
    </w:p>
    <w:p w14:paraId="36EC6186">
      <w:pPr>
        <w:pStyle w:val="5"/>
        <w:ind w:left="284" w:hanging="58"/>
        <w:rPr>
          <w:color w:val="auto"/>
          <w:szCs w:val="21"/>
        </w:rPr>
      </w:pPr>
      <w:r>
        <w:rPr>
          <w:rFonts w:hint="eastAsia"/>
          <w:color w:val="auto"/>
          <w:szCs w:val="21"/>
        </w:rPr>
        <w:t>在项目实施过程中，投标人应积极配合其他专业和系统的接口工作，即时提供接口资料等，满足对方对接口工作的时间安排和要求。</w:t>
      </w:r>
    </w:p>
    <w:p w14:paraId="0B2379A4">
      <w:pPr>
        <w:pStyle w:val="5"/>
        <w:ind w:left="284" w:hanging="58"/>
        <w:rPr>
          <w:color w:val="auto"/>
          <w:szCs w:val="21"/>
        </w:rPr>
      </w:pPr>
      <w:r>
        <w:rPr>
          <w:rFonts w:hint="eastAsia"/>
          <w:color w:val="auto"/>
          <w:szCs w:val="21"/>
        </w:rPr>
        <w:t>投标人应遵从招标人对提供接口资料时间的协调和安排以及其他有关接口方面的协调工作。</w:t>
      </w:r>
    </w:p>
    <w:p w14:paraId="07E10AC9">
      <w:pPr>
        <w:pStyle w:val="5"/>
        <w:ind w:left="284" w:hanging="58"/>
        <w:rPr>
          <w:color w:val="auto"/>
          <w:szCs w:val="21"/>
        </w:rPr>
      </w:pPr>
      <w:r>
        <w:rPr>
          <w:rFonts w:hint="eastAsia"/>
          <w:color w:val="auto"/>
          <w:szCs w:val="21"/>
        </w:rPr>
        <w:t>投标人有义务参加由招标人要求和主持召开的与本项目相关的接口</w:t>
      </w:r>
      <w:r>
        <w:rPr>
          <w:rFonts w:hint="eastAsia"/>
          <w:color w:val="auto"/>
          <w:szCs w:val="21"/>
          <w:lang w:eastAsia="zh-CN"/>
        </w:rPr>
        <w:t>技术联络</w:t>
      </w:r>
      <w:r>
        <w:rPr>
          <w:rFonts w:hint="eastAsia"/>
          <w:color w:val="auto"/>
          <w:szCs w:val="21"/>
        </w:rPr>
        <w:t>工作会议，会议地点在南宁或在本项目设备的制造地或原产地。</w:t>
      </w:r>
    </w:p>
    <w:p w14:paraId="39F2C14D">
      <w:pPr>
        <w:pStyle w:val="5"/>
        <w:ind w:left="284" w:hanging="58"/>
        <w:rPr>
          <w:color w:val="auto"/>
          <w:szCs w:val="21"/>
        </w:rPr>
      </w:pPr>
      <w:r>
        <w:rPr>
          <w:rFonts w:hint="eastAsia"/>
          <w:color w:val="auto"/>
          <w:szCs w:val="21"/>
        </w:rPr>
        <w:t>投标人所提供的设备和工作范围应为接口分界点本项目侧的所有内容。</w:t>
      </w:r>
    </w:p>
    <w:p w14:paraId="4BD21D8A">
      <w:pPr>
        <w:pStyle w:val="5"/>
        <w:ind w:left="284" w:hanging="58"/>
        <w:rPr>
          <w:color w:val="auto"/>
          <w:szCs w:val="21"/>
        </w:rPr>
        <w:sectPr>
          <w:headerReference r:id="rId19" w:type="even"/>
          <w:pgSz w:w="11906" w:h="16838"/>
          <w:pgMar w:top="1418" w:right="1418" w:bottom="1418" w:left="1418" w:header="851" w:footer="851" w:gutter="0"/>
          <w:cols w:space="720" w:num="1"/>
          <w:docGrid w:linePitch="312" w:charSpace="0"/>
        </w:sectPr>
      </w:pPr>
      <w:r>
        <w:rPr>
          <w:rFonts w:hint="eastAsia"/>
          <w:color w:val="auto"/>
          <w:szCs w:val="21"/>
        </w:rPr>
        <w:t>设备出厂前，投标人应模拟完成接口在工程现场条件下的测试和试验，并在招标人监督下完成接口功能测试和实验报告。</w:t>
      </w:r>
    </w:p>
    <w:p w14:paraId="2C6A1FF9">
      <w:pPr>
        <w:pStyle w:val="3"/>
        <w:pageBreakBefore/>
        <w:widowControl/>
        <w:numPr>
          <w:ilvl w:val="0"/>
          <w:numId w:val="2"/>
        </w:numPr>
        <w:autoSpaceDE/>
        <w:adjustRightInd w:val="0"/>
        <w:snapToGrid w:val="0"/>
        <w:spacing w:before="0" w:after="0"/>
        <w:ind w:left="431" w:hanging="431"/>
        <w:rPr>
          <w:rFonts w:ascii="Times New Roman" w:hAnsi="Times New Roman" w:eastAsia="宋体"/>
          <w:b/>
          <w:bCs/>
          <w:sz w:val="21"/>
          <w:szCs w:val="21"/>
        </w:rPr>
      </w:pPr>
      <w:bookmarkStart w:id="3666" w:name="_Toc354403283"/>
      <w:bookmarkStart w:id="3667" w:name="_Toc360180762"/>
      <w:bookmarkStart w:id="3668" w:name="_Toc25788"/>
      <w:bookmarkStart w:id="3669" w:name="_Toc17460"/>
      <w:bookmarkStart w:id="3670" w:name="_Toc160699581"/>
      <w:r>
        <w:rPr>
          <w:rFonts w:hint="eastAsia" w:ascii="Times New Roman" w:hAnsi="Times New Roman" w:eastAsia="宋体"/>
          <w:b/>
          <w:bCs/>
          <w:sz w:val="21"/>
          <w:szCs w:val="21"/>
        </w:rPr>
        <w:t>设备系统接口</w:t>
      </w:r>
      <w:bookmarkEnd w:id="3666"/>
      <w:bookmarkEnd w:id="3667"/>
      <w:bookmarkEnd w:id="3668"/>
      <w:bookmarkEnd w:id="3669"/>
      <w:bookmarkEnd w:id="3670"/>
    </w:p>
    <w:p w14:paraId="3AD122C9">
      <w:pPr>
        <w:pStyle w:val="4"/>
        <w:rPr>
          <w:sz w:val="21"/>
          <w:szCs w:val="21"/>
        </w:rPr>
      </w:pPr>
      <w:bookmarkStart w:id="3671" w:name="_Toc13987"/>
      <w:bookmarkStart w:id="3672" w:name="_Toc28764"/>
      <w:bookmarkStart w:id="3673" w:name="_Toc360180764"/>
      <w:bookmarkStart w:id="3674" w:name="_Toc354403285"/>
      <w:r>
        <w:rPr>
          <w:rFonts w:hint="eastAsia"/>
          <w:sz w:val="21"/>
          <w:szCs w:val="21"/>
          <w:lang w:val="en-US"/>
        </w:rPr>
        <w:t>与</w:t>
      </w:r>
      <w:r>
        <w:rPr>
          <w:rFonts w:hint="eastAsia"/>
          <w:sz w:val="21"/>
          <w:szCs w:val="21"/>
        </w:rPr>
        <w:t>信息网络系统</w:t>
      </w:r>
      <w:bookmarkEnd w:id="3671"/>
      <w:bookmarkEnd w:id="3672"/>
    </w:p>
    <w:p w14:paraId="79F95B7D">
      <w:pPr>
        <w:pStyle w:val="5"/>
        <w:ind w:left="284" w:hanging="58"/>
        <w:rPr>
          <w:color w:val="auto"/>
          <w:szCs w:val="21"/>
        </w:rPr>
      </w:pPr>
      <w:r>
        <w:rPr>
          <w:rFonts w:hint="eastAsia"/>
          <w:color w:val="auto"/>
          <w:szCs w:val="21"/>
        </w:rPr>
        <w:t>接口界面图</w:t>
      </w:r>
    </w:p>
    <w:p w14:paraId="4DBB000A">
      <w:pPr>
        <w:jc w:val="center"/>
        <w:rPr>
          <w:sz w:val="21"/>
          <w:szCs w:val="21"/>
        </w:rPr>
      </w:pPr>
      <w:r>
        <w:drawing>
          <wp:inline distT="0" distB="0" distL="0" distR="0">
            <wp:extent cx="3961765" cy="1504315"/>
            <wp:effectExtent l="0" t="0" r="635" b="444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5"/>
                    <a:stretch>
                      <a:fillRect/>
                    </a:stretch>
                  </pic:blipFill>
                  <pic:spPr>
                    <a:xfrm>
                      <a:off x="0" y="0"/>
                      <a:ext cx="3961905" cy="1504762"/>
                    </a:xfrm>
                    <a:prstGeom prst="rect">
                      <a:avLst/>
                    </a:prstGeom>
                  </pic:spPr>
                </pic:pic>
              </a:graphicData>
            </a:graphic>
          </wp:inline>
        </w:drawing>
      </w:r>
      <w:r>
        <w:rPr>
          <w:sz w:val="21"/>
          <w:szCs w:val="21"/>
        </w:rPr>
        <w:t xml:space="preserve"> </w:t>
      </w:r>
    </w:p>
    <w:p w14:paraId="4E7DB0B6">
      <w:pPr>
        <w:pStyle w:val="5"/>
        <w:rPr>
          <w:color w:val="auto"/>
          <w:szCs w:val="21"/>
        </w:rPr>
      </w:pPr>
      <w:r>
        <w:rPr>
          <w:rFonts w:hint="eastAsia"/>
          <w:color w:val="auto"/>
          <w:szCs w:val="21"/>
        </w:rPr>
        <w:t>物理接口</w:t>
      </w:r>
    </w:p>
    <w:p w14:paraId="6BFB8C31">
      <w:pPr>
        <w:pStyle w:val="1221"/>
        <w:ind w:left="0" w:firstLine="420"/>
        <w:jc w:val="both"/>
        <w:rPr>
          <w:szCs w:val="21"/>
        </w:rPr>
      </w:pPr>
      <w:r>
        <w:rPr>
          <w:rFonts w:hint="eastAsia"/>
          <w:szCs w:val="21"/>
        </w:rPr>
        <w:t>CP与OA需按照以下接口要求一览表提供有关的接口设备及材料。</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4"/>
        <w:gridCol w:w="2693"/>
        <w:gridCol w:w="2551"/>
        <w:gridCol w:w="2552"/>
        <w:gridCol w:w="1417"/>
        <w:gridCol w:w="1843"/>
        <w:gridCol w:w="1570"/>
      </w:tblGrid>
      <w:tr w14:paraId="6B45F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744" w:type="dxa"/>
            <w:shd w:val="clear" w:color="auto" w:fill="B3B3B3"/>
          </w:tcPr>
          <w:p w14:paraId="2A03EDE2">
            <w:pPr>
              <w:pStyle w:val="360"/>
              <w:spacing w:line="400" w:lineRule="exact"/>
              <w:ind w:left="0"/>
              <w:jc w:val="center"/>
              <w:rPr>
                <w:sz w:val="21"/>
                <w:szCs w:val="21"/>
              </w:rPr>
            </w:pPr>
            <w:r>
              <w:rPr>
                <w:rFonts w:hint="eastAsia"/>
                <w:sz w:val="21"/>
                <w:szCs w:val="21"/>
              </w:rPr>
              <w:t>物理接口编号</w:t>
            </w:r>
          </w:p>
        </w:tc>
        <w:tc>
          <w:tcPr>
            <w:tcW w:w="2693" w:type="dxa"/>
            <w:shd w:val="clear" w:color="auto" w:fill="B3B3B3"/>
          </w:tcPr>
          <w:p w14:paraId="0B7A5774">
            <w:pPr>
              <w:pStyle w:val="360"/>
              <w:spacing w:line="400" w:lineRule="exact"/>
              <w:ind w:left="0"/>
              <w:jc w:val="center"/>
              <w:rPr>
                <w:sz w:val="21"/>
                <w:szCs w:val="21"/>
              </w:rPr>
            </w:pPr>
            <w:r>
              <w:rPr>
                <w:rFonts w:hint="eastAsia"/>
                <w:sz w:val="21"/>
                <w:szCs w:val="21"/>
              </w:rPr>
              <w:t>CP提供</w:t>
            </w:r>
          </w:p>
        </w:tc>
        <w:tc>
          <w:tcPr>
            <w:tcW w:w="2551" w:type="dxa"/>
            <w:shd w:val="clear" w:color="auto" w:fill="B3B3B3"/>
          </w:tcPr>
          <w:p w14:paraId="3FC0B19A">
            <w:pPr>
              <w:pStyle w:val="360"/>
              <w:spacing w:line="400" w:lineRule="exact"/>
              <w:ind w:left="0"/>
              <w:jc w:val="center"/>
              <w:rPr>
                <w:sz w:val="21"/>
                <w:szCs w:val="21"/>
              </w:rPr>
            </w:pPr>
            <w:r>
              <w:rPr>
                <w:rFonts w:hint="eastAsia"/>
                <w:sz w:val="21"/>
                <w:szCs w:val="21"/>
              </w:rPr>
              <w:t>OA提供</w:t>
            </w:r>
          </w:p>
        </w:tc>
        <w:tc>
          <w:tcPr>
            <w:tcW w:w="2552" w:type="dxa"/>
            <w:shd w:val="clear" w:color="auto" w:fill="B3B3B3"/>
          </w:tcPr>
          <w:p w14:paraId="7B0B406F">
            <w:pPr>
              <w:pStyle w:val="360"/>
              <w:spacing w:line="400" w:lineRule="exact"/>
              <w:ind w:left="0"/>
              <w:jc w:val="center"/>
              <w:rPr>
                <w:sz w:val="21"/>
                <w:szCs w:val="21"/>
              </w:rPr>
            </w:pPr>
            <w:r>
              <w:rPr>
                <w:rFonts w:hint="eastAsia"/>
                <w:sz w:val="21"/>
                <w:szCs w:val="21"/>
              </w:rPr>
              <w:t>接口功能说明</w:t>
            </w:r>
          </w:p>
        </w:tc>
        <w:tc>
          <w:tcPr>
            <w:tcW w:w="1417" w:type="dxa"/>
            <w:shd w:val="clear" w:color="auto" w:fill="B3B3B3"/>
          </w:tcPr>
          <w:p w14:paraId="2D751560">
            <w:pPr>
              <w:pStyle w:val="360"/>
              <w:spacing w:line="400" w:lineRule="exact"/>
              <w:ind w:left="0"/>
              <w:jc w:val="center"/>
              <w:rPr>
                <w:sz w:val="21"/>
                <w:szCs w:val="21"/>
              </w:rPr>
            </w:pPr>
            <w:r>
              <w:rPr>
                <w:rFonts w:hint="eastAsia"/>
                <w:sz w:val="21"/>
                <w:szCs w:val="21"/>
              </w:rPr>
              <w:t>接口类型</w:t>
            </w:r>
          </w:p>
        </w:tc>
        <w:tc>
          <w:tcPr>
            <w:tcW w:w="1843" w:type="dxa"/>
            <w:shd w:val="clear" w:color="auto" w:fill="B3B3B3"/>
          </w:tcPr>
          <w:p w14:paraId="03361688">
            <w:pPr>
              <w:pStyle w:val="360"/>
              <w:spacing w:line="400" w:lineRule="exact"/>
              <w:ind w:left="0"/>
              <w:jc w:val="center"/>
              <w:rPr>
                <w:sz w:val="21"/>
                <w:szCs w:val="21"/>
              </w:rPr>
            </w:pPr>
            <w:r>
              <w:rPr>
                <w:rFonts w:hint="eastAsia"/>
                <w:sz w:val="21"/>
                <w:szCs w:val="21"/>
              </w:rPr>
              <w:t>接口数量</w:t>
            </w:r>
          </w:p>
        </w:tc>
        <w:tc>
          <w:tcPr>
            <w:tcW w:w="1570" w:type="dxa"/>
            <w:shd w:val="clear" w:color="auto" w:fill="B3B3B3"/>
          </w:tcPr>
          <w:p w14:paraId="308891B6">
            <w:pPr>
              <w:pStyle w:val="360"/>
              <w:spacing w:line="400" w:lineRule="exact"/>
              <w:ind w:left="0"/>
              <w:jc w:val="center"/>
              <w:rPr>
                <w:sz w:val="21"/>
                <w:szCs w:val="21"/>
              </w:rPr>
            </w:pPr>
            <w:r>
              <w:rPr>
                <w:rFonts w:hint="eastAsia"/>
                <w:sz w:val="21"/>
                <w:szCs w:val="21"/>
              </w:rPr>
              <w:t>接口位置</w:t>
            </w:r>
          </w:p>
        </w:tc>
      </w:tr>
      <w:tr w14:paraId="1D23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744" w:type="dxa"/>
            <w:vAlign w:val="center"/>
          </w:tcPr>
          <w:p w14:paraId="7C56BFF8">
            <w:pPr>
              <w:pStyle w:val="360"/>
              <w:spacing w:line="400" w:lineRule="exact"/>
              <w:ind w:left="0"/>
              <w:jc w:val="center"/>
              <w:rPr>
                <w:sz w:val="21"/>
                <w:szCs w:val="21"/>
              </w:rPr>
            </w:pPr>
            <w:r>
              <w:rPr>
                <w:rFonts w:hint="eastAsia"/>
                <w:sz w:val="21"/>
                <w:szCs w:val="21"/>
              </w:rPr>
              <w:t>CP.OA.P01</w:t>
            </w:r>
          </w:p>
        </w:tc>
        <w:tc>
          <w:tcPr>
            <w:tcW w:w="2693" w:type="dxa"/>
            <w:vAlign w:val="center"/>
          </w:tcPr>
          <w:p w14:paraId="0E9D2CD8">
            <w:pPr>
              <w:pStyle w:val="360"/>
              <w:spacing w:line="400" w:lineRule="exact"/>
              <w:ind w:left="0"/>
              <w:jc w:val="both"/>
              <w:rPr>
                <w:sz w:val="21"/>
                <w:szCs w:val="21"/>
              </w:rPr>
            </w:pPr>
            <w:r>
              <w:rPr>
                <w:rFonts w:hint="eastAsia"/>
                <w:sz w:val="21"/>
                <w:szCs w:val="21"/>
              </w:rPr>
              <w:t>CP设备至OA设备端口的电缆和/或光缆，带标识、光模块、光跳线</w:t>
            </w:r>
          </w:p>
        </w:tc>
        <w:tc>
          <w:tcPr>
            <w:tcW w:w="2551" w:type="dxa"/>
            <w:vAlign w:val="center"/>
          </w:tcPr>
          <w:p w14:paraId="28E62BA2">
            <w:pPr>
              <w:pStyle w:val="360"/>
              <w:spacing w:line="400" w:lineRule="exact"/>
              <w:ind w:left="0"/>
              <w:jc w:val="center"/>
              <w:rPr>
                <w:sz w:val="21"/>
                <w:szCs w:val="21"/>
              </w:rPr>
            </w:pPr>
            <w:r>
              <w:rPr>
                <w:rFonts w:hint="eastAsia"/>
                <w:sz w:val="21"/>
                <w:szCs w:val="21"/>
              </w:rPr>
              <w:t>OA设备端口</w:t>
            </w:r>
          </w:p>
        </w:tc>
        <w:tc>
          <w:tcPr>
            <w:tcW w:w="2552" w:type="dxa"/>
            <w:vAlign w:val="center"/>
          </w:tcPr>
          <w:p w14:paraId="0074ACC6">
            <w:pPr>
              <w:pStyle w:val="360"/>
              <w:spacing w:line="400" w:lineRule="exact"/>
              <w:ind w:left="0"/>
              <w:jc w:val="center"/>
              <w:rPr>
                <w:sz w:val="21"/>
                <w:szCs w:val="21"/>
              </w:rPr>
            </w:pPr>
            <w:r>
              <w:rPr>
                <w:rFonts w:hint="eastAsia"/>
                <w:sz w:val="21"/>
                <w:szCs w:val="21"/>
              </w:rPr>
              <w:t>10GE数据通道</w:t>
            </w:r>
          </w:p>
        </w:tc>
        <w:tc>
          <w:tcPr>
            <w:tcW w:w="1417" w:type="dxa"/>
            <w:vAlign w:val="center"/>
          </w:tcPr>
          <w:p w14:paraId="69D90788">
            <w:pPr>
              <w:pStyle w:val="360"/>
              <w:spacing w:line="400" w:lineRule="exact"/>
              <w:ind w:left="0"/>
              <w:rPr>
                <w:sz w:val="21"/>
                <w:szCs w:val="21"/>
              </w:rPr>
            </w:pPr>
            <w:r>
              <w:rPr>
                <w:rFonts w:hint="eastAsia"/>
                <w:sz w:val="21"/>
                <w:szCs w:val="21"/>
              </w:rPr>
              <w:t>以太网10GE光接口</w:t>
            </w:r>
          </w:p>
        </w:tc>
        <w:tc>
          <w:tcPr>
            <w:tcW w:w="1843" w:type="dxa"/>
            <w:vAlign w:val="center"/>
          </w:tcPr>
          <w:p w14:paraId="7B32FE6E">
            <w:pPr>
              <w:pStyle w:val="360"/>
              <w:spacing w:line="400" w:lineRule="exact"/>
              <w:ind w:left="0"/>
              <w:jc w:val="both"/>
              <w:rPr>
                <w:sz w:val="21"/>
                <w:szCs w:val="21"/>
              </w:rPr>
            </w:pPr>
            <w:r>
              <w:rPr>
                <w:rFonts w:hint="eastAsia"/>
                <w:sz w:val="21"/>
                <w:szCs w:val="21"/>
              </w:rPr>
              <w:t>4个光口</w:t>
            </w:r>
          </w:p>
          <w:p w14:paraId="022244FA">
            <w:pPr>
              <w:pStyle w:val="360"/>
              <w:spacing w:line="400" w:lineRule="exact"/>
              <w:ind w:left="0"/>
              <w:jc w:val="both"/>
              <w:rPr>
                <w:sz w:val="21"/>
                <w:szCs w:val="21"/>
              </w:rPr>
            </w:pPr>
            <w:r>
              <w:rPr>
                <w:rFonts w:hint="eastAsia"/>
                <w:sz w:val="21"/>
                <w:szCs w:val="21"/>
              </w:rPr>
              <w:t>具体数量在基础设施安装部署阶段确定</w:t>
            </w:r>
          </w:p>
        </w:tc>
        <w:tc>
          <w:tcPr>
            <w:tcW w:w="1570" w:type="dxa"/>
            <w:vAlign w:val="center"/>
          </w:tcPr>
          <w:p w14:paraId="726D8758">
            <w:pPr>
              <w:pStyle w:val="360"/>
              <w:spacing w:line="400" w:lineRule="exact"/>
              <w:ind w:left="0"/>
              <w:jc w:val="both"/>
              <w:rPr>
                <w:sz w:val="21"/>
                <w:szCs w:val="21"/>
              </w:rPr>
            </w:pPr>
            <w:r>
              <w:rPr>
                <w:rFonts w:hint="eastAsia"/>
                <w:sz w:val="21"/>
                <w:szCs w:val="21"/>
              </w:rPr>
              <w:t>控制中心数据中心机房</w:t>
            </w:r>
          </w:p>
        </w:tc>
      </w:tr>
    </w:tbl>
    <w:p w14:paraId="72C0EDE8">
      <w:pPr>
        <w:pStyle w:val="5"/>
        <w:rPr>
          <w:color w:val="auto"/>
          <w:szCs w:val="21"/>
        </w:rPr>
      </w:pPr>
      <w:r>
        <w:rPr>
          <w:rFonts w:hint="eastAsia"/>
          <w:color w:val="auto"/>
          <w:szCs w:val="21"/>
        </w:rPr>
        <w:t>功能要求</w:t>
      </w:r>
    </w:p>
    <w:p w14:paraId="67C14BE4">
      <w:pPr>
        <w:pStyle w:val="1221"/>
        <w:ind w:left="0" w:firstLine="420"/>
        <w:jc w:val="both"/>
        <w:rPr>
          <w:szCs w:val="21"/>
        </w:rPr>
      </w:pPr>
      <w:r>
        <w:rPr>
          <w:rFonts w:hint="eastAsia"/>
          <w:szCs w:val="21"/>
        </w:rPr>
        <w:t>CP与OA需按照以下接口功能要求一览表提供有关的接口功能。</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4"/>
        <w:gridCol w:w="3827"/>
        <w:gridCol w:w="1701"/>
        <w:gridCol w:w="3544"/>
        <w:gridCol w:w="3554"/>
      </w:tblGrid>
      <w:tr w14:paraId="30F7F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744" w:type="dxa"/>
            <w:shd w:val="clear" w:color="auto" w:fill="B3B3B3"/>
          </w:tcPr>
          <w:p w14:paraId="1D6ACB9B">
            <w:pPr>
              <w:pStyle w:val="360"/>
              <w:spacing w:line="400" w:lineRule="exact"/>
              <w:ind w:left="0"/>
              <w:jc w:val="center"/>
              <w:rPr>
                <w:sz w:val="21"/>
                <w:szCs w:val="21"/>
              </w:rPr>
            </w:pPr>
            <w:r>
              <w:rPr>
                <w:rFonts w:hint="eastAsia"/>
                <w:sz w:val="21"/>
                <w:szCs w:val="21"/>
              </w:rPr>
              <w:t>功能要求编号</w:t>
            </w:r>
          </w:p>
        </w:tc>
        <w:tc>
          <w:tcPr>
            <w:tcW w:w="3827" w:type="dxa"/>
            <w:shd w:val="clear" w:color="auto" w:fill="B3B3B3"/>
          </w:tcPr>
          <w:p w14:paraId="4EAB34FE">
            <w:pPr>
              <w:pStyle w:val="360"/>
              <w:spacing w:line="400" w:lineRule="exact"/>
              <w:ind w:left="0"/>
              <w:jc w:val="center"/>
              <w:rPr>
                <w:sz w:val="21"/>
                <w:szCs w:val="21"/>
              </w:rPr>
            </w:pPr>
            <w:r>
              <w:rPr>
                <w:rFonts w:hint="eastAsia"/>
                <w:sz w:val="21"/>
                <w:szCs w:val="21"/>
              </w:rPr>
              <w:t>功能要求</w:t>
            </w:r>
          </w:p>
        </w:tc>
        <w:tc>
          <w:tcPr>
            <w:tcW w:w="1701" w:type="dxa"/>
            <w:shd w:val="clear" w:color="auto" w:fill="B3B3B3"/>
          </w:tcPr>
          <w:p w14:paraId="59960FC3">
            <w:pPr>
              <w:pStyle w:val="360"/>
              <w:spacing w:line="400" w:lineRule="exact"/>
              <w:ind w:left="0"/>
              <w:jc w:val="center"/>
              <w:rPr>
                <w:sz w:val="21"/>
                <w:szCs w:val="21"/>
              </w:rPr>
            </w:pPr>
            <w:r>
              <w:rPr>
                <w:rFonts w:hint="eastAsia"/>
                <w:sz w:val="21"/>
                <w:szCs w:val="21"/>
              </w:rPr>
              <w:t>相关物理接口</w:t>
            </w:r>
          </w:p>
        </w:tc>
        <w:tc>
          <w:tcPr>
            <w:tcW w:w="3544" w:type="dxa"/>
            <w:shd w:val="clear" w:color="auto" w:fill="B3B3B3"/>
          </w:tcPr>
          <w:p w14:paraId="4E913D38">
            <w:pPr>
              <w:pStyle w:val="360"/>
              <w:spacing w:line="400" w:lineRule="exact"/>
              <w:ind w:left="0"/>
              <w:jc w:val="center"/>
              <w:rPr>
                <w:sz w:val="21"/>
                <w:szCs w:val="21"/>
              </w:rPr>
            </w:pPr>
            <w:r>
              <w:rPr>
                <w:rFonts w:hint="eastAsia"/>
                <w:sz w:val="21"/>
                <w:szCs w:val="21"/>
              </w:rPr>
              <w:t>CP提供</w:t>
            </w:r>
          </w:p>
        </w:tc>
        <w:tc>
          <w:tcPr>
            <w:tcW w:w="3554" w:type="dxa"/>
            <w:shd w:val="clear" w:color="auto" w:fill="B3B3B3"/>
          </w:tcPr>
          <w:p w14:paraId="1E751CD8">
            <w:pPr>
              <w:pStyle w:val="360"/>
              <w:spacing w:line="400" w:lineRule="exact"/>
              <w:ind w:left="0"/>
              <w:jc w:val="center"/>
              <w:rPr>
                <w:sz w:val="21"/>
                <w:szCs w:val="21"/>
              </w:rPr>
            </w:pPr>
            <w:r>
              <w:rPr>
                <w:rFonts w:hint="eastAsia"/>
                <w:sz w:val="21"/>
                <w:szCs w:val="21"/>
              </w:rPr>
              <w:t>OA提供</w:t>
            </w:r>
          </w:p>
        </w:tc>
      </w:tr>
      <w:tr w14:paraId="0F146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744" w:type="dxa"/>
            <w:vAlign w:val="center"/>
          </w:tcPr>
          <w:p w14:paraId="15B94533">
            <w:pPr>
              <w:pStyle w:val="360"/>
              <w:spacing w:line="400" w:lineRule="exact"/>
              <w:ind w:left="0"/>
              <w:jc w:val="center"/>
              <w:rPr>
                <w:sz w:val="21"/>
                <w:szCs w:val="21"/>
              </w:rPr>
            </w:pPr>
            <w:r>
              <w:rPr>
                <w:rFonts w:hint="eastAsia"/>
                <w:sz w:val="21"/>
                <w:szCs w:val="21"/>
              </w:rPr>
              <w:t>CP.OA.F01</w:t>
            </w:r>
          </w:p>
        </w:tc>
        <w:tc>
          <w:tcPr>
            <w:tcW w:w="3827" w:type="dxa"/>
            <w:vAlign w:val="center"/>
          </w:tcPr>
          <w:p w14:paraId="62C3D37E">
            <w:pPr>
              <w:pStyle w:val="360"/>
              <w:spacing w:line="400" w:lineRule="exact"/>
              <w:ind w:left="0"/>
              <w:rPr>
                <w:sz w:val="21"/>
                <w:szCs w:val="21"/>
              </w:rPr>
            </w:pPr>
            <w:r>
              <w:rPr>
                <w:rFonts w:hint="eastAsia"/>
                <w:sz w:val="21"/>
                <w:szCs w:val="21"/>
                <w:lang w:eastAsia="zh-CN"/>
              </w:rPr>
              <w:t>管理云平台</w:t>
            </w:r>
            <w:r>
              <w:rPr>
                <w:rFonts w:hint="eastAsia"/>
                <w:sz w:val="21"/>
                <w:szCs w:val="21"/>
              </w:rPr>
              <w:t>服务器集群系统与OA网络的信息通信</w:t>
            </w:r>
          </w:p>
        </w:tc>
        <w:tc>
          <w:tcPr>
            <w:tcW w:w="1701" w:type="dxa"/>
            <w:vAlign w:val="center"/>
          </w:tcPr>
          <w:p w14:paraId="36BB392F">
            <w:pPr>
              <w:pStyle w:val="360"/>
              <w:spacing w:line="400" w:lineRule="exact"/>
              <w:ind w:left="0"/>
              <w:jc w:val="center"/>
              <w:rPr>
                <w:sz w:val="21"/>
                <w:szCs w:val="21"/>
              </w:rPr>
            </w:pPr>
            <w:r>
              <w:rPr>
                <w:sz w:val="21"/>
                <w:szCs w:val="21"/>
              </w:rPr>
              <w:t>CP.</w:t>
            </w:r>
            <w:r>
              <w:rPr>
                <w:rFonts w:hint="eastAsia"/>
                <w:sz w:val="21"/>
                <w:szCs w:val="21"/>
              </w:rPr>
              <w:t>OA</w:t>
            </w:r>
            <w:r>
              <w:rPr>
                <w:sz w:val="21"/>
                <w:szCs w:val="21"/>
              </w:rPr>
              <w:t>. P01</w:t>
            </w:r>
          </w:p>
        </w:tc>
        <w:tc>
          <w:tcPr>
            <w:tcW w:w="3544" w:type="dxa"/>
            <w:vAlign w:val="center"/>
          </w:tcPr>
          <w:p w14:paraId="65BA86F5">
            <w:pPr>
              <w:pStyle w:val="360"/>
              <w:spacing w:line="400" w:lineRule="exact"/>
              <w:ind w:left="0"/>
              <w:jc w:val="center"/>
              <w:rPr>
                <w:sz w:val="21"/>
                <w:szCs w:val="21"/>
              </w:rPr>
            </w:pPr>
            <w:r>
              <w:rPr>
                <w:rFonts w:hint="eastAsia"/>
                <w:sz w:val="21"/>
                <w:szCs w:val="21"/>
              </w:rPr>
              <w:t>数据信息</w:t>
            </w:r>
          </w:p>
        </w:tc>
        <w:tc>
          <w:tcPr>
            <w:tcW w:w="3554" w:type="dxa"/>
            <w:vAlign w:val="center"/>
          </w:tcPr>
          <w:p w14:paraId="5D12870F">
            <w:pPr>
              <w:pStyle w:val="360"/>
              <w:spacing w:line="400" w:lineRule="exact"/>
              <w:ind w:left="0"/>
              <w:jc w:val="center"/>
              <w:rPr>
                <w:sz w:val="21"/>
                <w:szCs w:val="21"/>
              </w:rPr>
            </w:pPr>
            <w:r>
              <w:rPr>
                <w:rFonts w:hint="eastAsia"/>
                <w:sz w:val="21"/>
                <w:szCs w:val="21"/>
              </w:rPr>
              <w:t>数据通道</w:t>
            </w:r>
          </w:p>
        </w:tc>
      </w:tr>
    </w:tbl>
    <w:p w14:paraId="37A92C77">
      <w:pPr>
        <w:pStyle w:val="5"/>
        <w:rPr>
          <w:color w:val="auto"/>
          <w:szCs w:val="21"/>
        </w:rPr>
      </w:pPr>
      <w:r>
        <w:rPr>
          <w:rFonts w:hint="eastAsia"/>
          <w:color w:val="auto"/>
          <w:szCs w:val="21"/>
        </w:rPr>
        <w:t>接口文件要求</w:t>
      </w:r>
    </w:p>
    <w:p w14:paraId="1F56DA98">
      <w:pPr>
        <w:pStyle w:val="1221"/>
        <w:ind w:left="0" w:firstLine="420"/>
        <w:jc w:val="both"/>
        <w:rPr>
          <w:szCs w:val="21"/>
        </w:rPr>
      </w:pPr>
      <w:r>
        <w:rPr>
          <w:rFonts w:hint="eastAsia"/>
          <w:szCs w:val="21"/>
        </w:rPr>
        <w:t>CP与OA需按照以下责任划分提供有关的接口设计及测试文件。</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9"/>
        <w:gridCol w:w="3686"/>
        <w:gridCol w:w="3969"/>
        <w:gridCol w:w="3696"/>
      </w:tblGrid>
      <w:tr w14:paraId="3CB1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3019" w:type="dxa"/>
            <w:shd w:val="clear" w:color="auto" w:fill="B3B3B3"/>
          </w:tcPr>
          <w:p w14:paraId="7A76732E">
            <w:pPr>
              <w:pStyle w:val="360"/>
              <w:spacing w:line="400" w:lineRule="exact"/>
              <w:ind w:left="0"/>
              <w:jc w:val="center"/>
              <w:rPr>
                <w:sz w:val="21"/>
                <w:szCs w:val="21"/>
              </w:rPr>
            </w:pPr>
            <w:r>
              <w:rPr>
                <w:rFonts w:hint="eastAsia"/>
                <w:sz w:val="21"/>
                <w:szCs w:val="21"/>
              </w:rPr>
              <w:t>接口文件要求</w:t>
            </w:r>
          </w:p>
        </w:tc>
        <w:tc>
          <w:tcPr>
            <w:tcW w:w="3686" w:type="dxa"/>
            <w:shd w:val="clear" w:color="auto" w:fill="B3B3B3"/>
          </w:tcPr>
          <w:p w14:paraId="6DCA006F">
            <w:pPr>
              <w:pStyle w:val="360"/>
              <w:spacing w:line="400" w:lineRule="exact"/>
              <w:ind w:left="0"/>
              <w:jc w:val="center"/>
              <w:rPr>
                <w:sz w:val="21"/>
                <w:szCs w:val="21"/>
              </w:rPr>
            </w:pPr>
            <w:r>
              <w:rPr>
                <w:rFonts w:hint="eastAsia"/>
                <w:sz w:val="21"/>
                <w:szCs w:val="21"/>
              </w:rPr>
              <w:t>CP责任</w:t>
            </w:r>
          </w:p>
        </w:tc>
        <w:tc>
          <w:tcPr>
            <w:tcW w:w="3969" w:type="dxa"/>
            <w:shd w:val="clear" w:color="auto" w:fill="B3B3B3"/>
          </w:tcPr>
          <w:p w14:paraId="6B5A9AF5">
            <w:pPr>
              <w:pStyle w:val="360"/>
              <w:spacing w:line="400" w:lineRule="exact"/>
              <w:ind w:left="0"/>
              <w:jc w:val="center"/>
              <w:rPr>
                <w:sz w:val="21"/>
                <w:szCs w:val="21"/>
              </w:rPr>
            </w:pPr>
            <w:r>
              <w:rPr>
                <w:rFonts w:hint="eastAsia"/>
                <w:sz w:val="21"/>
                <w:szCs w:val="21"/>
              </w:rPr>
              <w:t>OA责任</w:t>
            </w:r>
          </w:p>
        </w:tc>
        <w:tc>
          <w:tcPr>
            <w:tcW w:w="3696" w:type="dxa"/>
            <w:shd w:val="clear" w:color="auto" w:fill="B3B3B3"/>
          </w:tcPr>
          <w:p w14:paraId="187F450F">
            <w:pPr>
              <w:pStyle w:val="360"/>
              <w:spacing w:line="400" w:lineRule="exact"/>
              <w:ind w:left="0"/>
              <w:jc w:val="center"/>
              <w:rPr>
                <w:sz w:val="21"/>
                <w:szCs w:val="21"/>
              </w:rPr>
            </w:pPr>
            <w:r>
              <w:rPr>
                <w:rFonts w:hint="eastAsia"/>
                <w:sz w:val="21"/>
                <w:szCs w:val="21"/>
              </w:rPr>
              <w:t>完成时间</w:t>
            </w:r>
          </w:p>
        </w:tc>
      </w:tr>
      <w:tr w14:paraId="5F910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7B1FF74B">
            <w:pPr>
              <w:pStyle w:val="360"/>
              <w:spacing w:line="400" w:lineRule="exact"/>
              <w:ind w:left="0"/>
              <w:jc w:val="center"/>
              <w:rPr>
                <w:sz w:val="21"/>
                <w:szCs w:val="21"/>
              </w:rPr>
            </w:pPr>
            <w:r>
              <w:rPr>
                <w:rFonts w:hint="eastAsia"/>
                <w:sz w:val="21"/>
                <w:szCs w:val="21"/>
              </w:rPr>
              <w:t>详细接口规格书（DIS）</w:t>
            </w:r>
          </w:p>
        </w:tc>
        <w:tc>
          <w:tcPr>
            <w:tcW w:w="3686" w:type="dxa"/>
            <w:vAlign w:val="center"/>
          </w:tcPr>
          <w:p w14:paraId="111686E2">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7BAE4AF7">
            <w:pPr>
              <w:pStyle w:val="360"/>
              <w:spacing w:line="400" w:lineRule="exact"/>
              <w:ind w:left="0"/>
              <w:jc w:val="center"/>
              <w:rPr>
                <w:sz w:val="21"/>
                <w:szCs w:val="21"/>
              </w:rPr>
            </w:pPr>
            <w:r>
              <w:rPr>
                <w:rFonts w:hint="eastAsia"/>
                <w:sz w:val="21"/>
                <w:szCs w:val="21"/>
              </w:rPr>
              <w:t>协调及共同确认文件内容</w:t>
            </w:r>
          </w:p>
        </w:tc>
        <w:tc>
          <w:tcPr>
            <w:tcW w:w="3696" w:type="dxa"/>
          </w:tcPr>
          <w:p w14:paraId="1E346768">
            <w:pPr>
              <w:pStyle w:val="360"/>
              <w:spacing w:line="400" w:lineRule="exact"/>
              <w:ind w:left="0"/>
              <w:jc w:val="center"/>
              <w:rPr>
                <w:sz w:val="21"/>
                <w:szCs w:val="21"/>
              </w:rPr>
            </w:pPr>
            <w:r>
              <w:rPr>
                <w:rFonts w:hint="eastAsia"/>
                <w:sz w:val="21"/>
                <w:szCs w:val="21"/>
              </w:rPr>
              <w:t>CP基础设施安装部署阶段</w:t>
            </w:r>
          </w:p>
        </w:tc>
      </w:tr>
      <w:tr w14:paraId="268D4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6B9C3DD4">
            <w:pPr>
              <w:pStyle w:val="360"/>
              <w:spacing w:line="400" w:lineRule="exact"/>
              <w:ind w:left="0"/>
              <w:jc w:val="center"/>
              <w:rPr>
                <w:sz w:val="21"/>
                <w:szCs w:val="21"/>
              </w:rPr>
            </w:pPr>
            <w:r>
              <w:rPr>
                <w:rFonts w:hint="eastAsia"/>
                <w:sz w:val="21"/>
                <w:szCs w:val="21"/>
              </w:rPr>
              <w:t>详细接口测试计划（DITP）</w:t>
            </w:r>
          </w:p>
        </w:tc>
        <w:tc>
          <w:tcPr>
            <w:tcW w:w="3686" w:type="dxa"/>
            <w:vAlign w:val="center"/>
          </w:tcPr>
          <w:p w14:paraId="7ED61256">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1DC97BF8">
            <w:pPr>
              <w:pStyle w:val="360"/>
              <w:spacing w:line="400" w:lineRule="exact"/>
              <w:ind w:left="0"/>
              <w:jc w:val="center"/>
              <w:rPr>
                <w:sz w:val="21"/>
                <w:szCs w:val="21"/>
              </w:rPr>
            </w:pPr>
            <w:r>
              <w:rPr>
                <w:rFonts w:hint="eastAsia"/>
                <w:sz w:val="21"/>
                <w:szCs w:val="21"/>
              </w:rPr>
              <w:t>协调及共同确认文件内容</w:t>
            </w:r>
          </w:p>
        </w:tc>
        <w:tc>
          <w:tcPr>
            <w:tcW w:w="3696" w:type="dxa"/>
          </w:tcPr>
          <w:p w14:paraId="6B76F755">
            <w:pPr>
              <w:pStyle w:val="360"/>
              <w:spacing w:line="400" w:lineRule="exact"/>
              <w:ind w:left="0"/>
              <w:jc w:val="center"/>
              <w:rPr>
                <w:sz w:val="21"/>
                <w:szCs w:val="21"/>
              </w:rPr>
            </w:pPr>
            <w:r>
              <w:rPr>
                <w:rFonts w:hint="eastAsia"/>
                <w:sz w:val="21"/>
                <w:szCs w:val="21"/>
              </w:rPr>
              <w:t>CP基础设施安装部署阶段</w:t>
            </w:r>
          </w:p>
        </w:tc>
      </w:tr>
      <w:tr w14:paraId="0A14C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6168DFC0">
            <w:pPr>
              <w:pStyle w:val="360"/>
              <w:spacing w:line="400" w:lineRule="exact"/>
              <w:ind w:left="0"/>
              <w:jc w:val="center"/>
              <w:rPr>
                <w:sz w:val="21"/>
                <w:szCs w:val="21"/>
              </w:rPr>
            </w:pPr>
            <w:r>
              <w:rPr>
                <w:rFonts w:hint="eastAsia"/>
                <w:sz w:val="21"/>
                <w:szCs w:val="21"/>
              </w:rPr>
              <w:t>接口测试规格书（ITSP）</w:t>
            </w:r>
          </w:p>
        </w:tc>
        <w:tc>
          <w:tcPr>
            <w:tcW w:w="3686" w:type="dxa"/>
            <w:vAlign w:val="center"/>
          </w:tcPr>
          <w:p w14:paraId="62AA8607">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0E9840D9">
            <w:pPr>
              <w:pStyle w:val="360"/>
              <w:spacing w:line="400" w:lineRule="exact"/>
              <w:ind w:left="0"/>
              <w:jc w:val="center"/>
              <w:rPr>
                <w:sz w:val="21"/>
                <w:szCs w:val="21"/>
              </w:rPr>
            </w:pPr>
            <w:r>
              <w:rPr>
                <w:rFonts w:hint="eastAsia"/>
                <w:sz w:val="21"/>
                <w:szCs w:val="21"/>
              </w:rPr>
              <w:t>协调及共同确认文件内容</w:t>
            </w:r>
          </w:p>
        </w:tc>
        <w:tc>
          <w:tcPr>
            <w:tcW w:w="3696" w:type="dxa"/>
          </w:tcPr>
          <w:p w14:paraId="4660702A">
            <w:pPr>
              <w:pStyle w:val="360"/>
              <w:spacing w:line="400" w:lineRule="exact"/>
              <w:ind w:left="0"/>
              <w:jc w:val="center"/>
              <w:rPr>
                <w:sz w:val="21"/>
                <w:szCs w:val="21"/>
              </w:rPr>
            </w:pPr>
            <w:r>
              <w:rPr>
                <w:rFonts w:hint="eastAsia"/>
                <w:sz w:val="21"/>
                <w:szCs w:val="21"/>
              </w:rPr>
              <w:t>CP基础设施安装部署阶段</w:t>
            </w:r>
          </w:p>
        </w:tc>
      </w:tr>
    </w:tbl>
    <w:p w14:paraId="2D0D505F">
      <w:pPr>
        <w:pStyle w:val="5"/>
        <w:rPr>
          <w:color w:val="auto"/>
          <w:szCs w:val="21"/>
        </w:rPr>
      </w:pPr>
      <w:r>
        <w:rPr>
          <w:rFonts w:hint="eastAsia"/>
          <w:color w:val="auto"/>
          <w:szCs w:val="21"/>
        </w:rPr>
        <w:t>参数及资料交换</w:t>
      </w:r>
    </w:p>
    <w:p w14:paraId="68C59584">
      <w:pPr>
        <w:pStyle w:val="1221"/>
        <w:ind w:left="0" w:firstLine="420"/>
        <w:jc w:val="both"/>
        <w:rPr>
          <w:szCs w:val="21"/>
        </w:rPr>
      </w:pPr>
      <w:r>
        <w:rPr>
          <w:rFonts w:hint="eastAsia"/>
          <w:szCs w:val="21"/>
        </w:rPr>
        <w:t>CP与OA需按照以下交换资料接口要求一览表提供有关的接口资料。</w:t>
      </w:r>
    </w:p>
    <w:tbl>
      <w:tblPr>
        <w:tblStyle w:val="87"/>
        <w:tblW w:w="14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2"/>
        <w:gridCol w:w="1985"/>
        <w:gridCol w:w="4111"/>
        <w:gridCol w:w="3685"/>
        <w:gridCol w:w="2661"/>
      </w:tblGrid>
      <w:tr w14:paraId="76CD8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842" w:type="dxa"/>
            <w:shd w:val="clear" w:color="auto" w:fill="B3B3B3"/>
          </w:tcPr>
          <w:p w14:paraId="7F0B70C5">
            <w:pPr>
              <w:pStyle w:val="360"/>
              <w:spacing w:line="400" w:lineRule="exact"/>
              <w:ind w:left="0"/>
              <w:jc w:val="center"/>
              <w:rPr>
                <w:sz w:val="21"/>
                <w:szCs w:val="21"/>
              </w:rPr>
            </w:pPr>
            <w:r>
              <w:rPr>
                <w:rFonts w:hint="eastAsia"/>
                <w:sz w:val="21"/>
                <w:szCs w:val="21"/>
              </w:rPr>
              <w:t>参数及资料编号</w:t>
            </w:r>
          </w:p>
        </w:tc>
        <w:tc>
          <w:tcPr>
            <w:tcW w:w="1985" w:type="dxa"/>
            <w:shd w:val="clear" w:color="auto" w:fill="B3B3B3"/>
          </w:tcPr>
          <w:p w14:paraId="3E5563B9">
            <w:pPr>
              <w:pStyle w:val="360"/>
              <w:spacing w:line="400" w:lineRule="exact"/>
              <w:ind w:left="0"/>
              <w:jc w:val="center"/>
              <w:rPr>
                <w:sz w:val="21"/>
                <w:szCs w:val="21"/>
              </w:rPr>
            </w:pPr>
            <w:r>
              <w:rPr>
                <w:rFonts w:hint="eastAsia"/>
                <w:sz w:val="21"/>
                <w:szCs w:val="21"/>
              </w:rPr>
              <w:t>相关物理接口</w:t>
            </w:r>
          </w:p>
        </w:tc>
        <w:tc>
          <w:tcPr>
            <w:tcW w:w="4111" w:type="dxa"/>
            <w:shd w:val="clear" w:color="auto" w:fill="B3B3B3"/>
          </w:tcPr>
          <w:p w14:paraId="43ACA304">
            <w:pPr>
              <w:pStyle w:val="360"/>
              <w:spacing w:line="400" w:lineRule="exact"/>
              <w:ind w:left="0"/>
              <w:jc w:val="center"/>
              <w:rPr>
                <w:sz w:val="21"/>
                <w:szCs w:val="21"/>
              </w:rPr>
            </w:pPr>
            <w:r>
              <w:rPr>
                <w:rFonts w:hint="eastAsia"/>
                <w:sz w:val="21"/>
                <w:szCs w:val="21"/>
              </w:rPr>
              <w:t>CP责任</w:t>
            </w:r>
          </w:p>
        </w:tc>
        <w:tc>
          <w:tcPr>
            <w:tcW w:w="3685" w:type="dxa"/>
            <w:shd w:val="clear" w:color="auto" w:fill="B3B3B3"/>
          </w:tcPr>
          <w:p w14:paraId="32586BC8">
            <w:pPr>
              <w:pStyle w:val="360"/>
              <w:spacing w:line="400" w:lineRule="exact"/>
              <w:ind w:left="0"/>
              <w:jc w:val="center"/>
              <w:rPr>
                <w:sz w:val="21"/>
                <w:szCs w:val="21"/>
              </w:rPr>
            </w:pPr>
            <w:r>
              <w:rPr>
                <w:rFonts w:hint="eastAsia"/>
                <w:sz w:val="21"/>
                <w:szCs w:val="21"/>
              </w:rPr>
              <w:t>OA责任</w:t>
            </w:r>
          </w:p>
        </w:tc>
        <w:tc>
          <w:tcPr>
            <w:tcW w:w="2661" w:type="dxa"/>
            <w:shd w:val="clear" w:color="auto" w:fill="B3B3B3"/>
          </w:tcPr>
          <w:p w14:paraId="011AABA6">
            <w:pPr>
              <w:pStyle w:val="360"/>
              <w:spacing w:line="400" w:lineRule="exact"/>
              <w:ind w:left="0"/>
              <w:jc w:val="center"/>
              <w:rPr>
                <w:sz w:val="21"/>
                <w:szCs w:val="21"/>
              </w:rPr>
            </w:pPr>
            <w:r>
              <w:rPr>
                <w:rFonts w:hint="eastAsia"/>
                <w:sz w:val="21"/>
                <w:szCs w:val="21"/>
              </w:rPr>
              <w:t>完成时间</w:t>
            </w:r>
          </w:p>
        </w:tc>
      </w:tr>
      <w:tr w14:paraId="43765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842" w:type="dxa"/>
            <w:vAlign w:val="center"/>
          </w:tcPr>
          <w:p w14:paraId="530355FE">
            <w:pPr>
              <w:pStyle w:val="360"/>
              <w:spacing w:line="400" w:lineRule="exact"/>
              <w:ind w:left="0"/>
              <w:jc w:val="center"/>
              <w:rPr>
                <w:sz w:val="21"/>
                <w:szCs w:val="21"/>
              </w:rPr>
            </w:pPr>
            <w:r>
              <w:rPr>
                <w:rFonts w:hint="eastAsia"/>
                <w:sz w:val="21"/>
                <w:szCs w:val="21"/>
              </w:rPr>
              <w:t>CP.OA.D01</w:t>
            </w:r>
          </w:p>
        </w:tc>
        <w:tc>
          <w:tcPr>
            <w:tcW w:w="1985" w:type="dxa"/>
            <w:vAlign w:val="center"/>
          </w:tcPr>
          <w:p w14:paraId="720EC741">
            <w:pPr>
              <w:pStyle w:val="360"/>
              <w:spacing w:line="400" w:lineRule="exact"/>
              <w:ind w:left="0"/>
              <w:jc w:val="center"/>
              <w:rPr>
                <w:sz w:val="21"/>
                <w:szCs w:val="21"/>
              </w:rPr>
            </w:pPr>
            <w:r>
              <w:rPr>
                <w:rFonts w:hint="eastAsia"/>
                <w:sz w:val="21"/>
                <w:szCs w:val="21"/>
              </w:rPr>
              <w:t>CP.OA.D01</w:t>
            </w:r>
          </w:p>
        </w:tc>
        <w:tc>
          <w:tcPr>
            <w:tcW w:w="4111" w:type="dxa"/>
            <w:vAlign w:val="center"/>
          </w:tcPr>
          <w:p w14:paraId="0DB8D851">
            <w:pPr>
              <w:pStyle w:val="360"/>
              <w:spacing w:line="400" w:lineRule="exact"/>
              <w:ind w:left="0"/>
              <w:rPr>
                <w:sz w:val="21"/>
                <w:szCs w:val="21"/>
              </w:rPr>
            </w:pPr>
            <w:r>
              <w:rPr>
                <w:rFonts w:hint="eastAsia"/>
                <w:sz w:val="21"/>
                <w:szCs w:val="21"/>
              </w:rPr>
              <w:t>CP提供资料应包括但不限于以下：</w:t>
            </w:r>
          </w:p>
          <w:p w14:paraId="0F50D161">
            <w:pPr>
              <w:pStyle w:val="360"/>
              <w:spacing w:line="400" w:lineRule="exact"/>
              <w:ind w:left="0"/>
              <w:rPr>
                <w:sz w:val="21"/>
                <w:szCs w:val="21"/>
              </w:rPr>
            </w:pPr>
            <w:r>
              <w:rPr>
                <w:rFonts w:hint="eastAsia"/>
                <w:sz w:val="21"/>
                <w:szCs w:val="21"/>
              </w:rPr>
              <w:t>1）配合及确认相关资料；</w:t>
            </w:r>
          </w:p>
          <w:p w14:paraId="1C3FDA0E">
            <w:pPr>
              <w:pStyle w:val="360"/>
              <w:spacing w:line="400" w:lineRule="exact"/>
              <w:ind w:left="0"/>
              <w:rPr>
                <w:sz w:val="21"/>
                <w:szCs w:val="21"/>
              </w:rPr>
            </w:pPr>
            <w:r>
              <w:rPr>
                <w:rFonts w:hint="eastAsia"/>
                <w:sz w:val="21"/>
                <w:szCs w:val="21"/>
              </w:rPr>
              <w:t>2）按OA要求完成接口设计；</w:t>
            </w:r>
          </w:p>
          <w:p w14:paraId="3D0C454F">
            <w:pPr>
              <w:pStyle w:val="360"/>
              <w:spacing w:line="400" w:lineRule="exact"/>
              <w:ind w:left="0"/>
              <w:rPr>
                <w:sz w:val="21"/>
                <w:szCs w:val="21"/>
              </w:rPr>
            </w:pPr>
            <w:r>
              <w:rPr>
                <w:rFonts w:hint="eastAsia"/>
                <w:sz w:val="21"/>
                <w:szCs w:val="21"/>
              </w:rPr>
              <w:t>3）光模块类型、相关附件安装要求。</w:t>
            </w:r>
          </w:p>
        </w:tc>
        <w:tc>
          <w:tcPr>
            <w:tcW w:w="3685" w:type="dxa"/>
            <w:vAlign w:val="center"/>
          </w:tcPr>
          <w:p w14:paraId="4B7440A9">
            <w:pPr>
              <w:pStyle w:val="360"/>
              <w:spacing w:line="400" w:lineRule="exact"/>
              <w:ind w:left="0"/>
              <w:rPr>
                <w:sz w:val="21"/>
                <w:szCs w:val="21"/>
              </w:rPr>
            </w:pPr>
            <w:r>
              <w:rPr>
                <w:rFonts w:hint="eastAsia"/>
                <w:sz w:val="21"/>
                <w:szCs w:val="21"/>
              </w:rPr>
              <w:t>OA提供资料应包括但不限于以下：</w:t>
            </w:r>
          </w:p>
          <w:p w14:paraId="0E2DCDEB">
            <w:pPr>
              <w:pStyle w:val="360"/>
              <w:spacing w:line="400" w:lineRule="exact"/>
              <w:ind w:left="0"/>
              <w:rPr>
                <w:sz w:val="21"/>
                <w:szCs w:val="21"/>
              </w:rPr>
            </w:pPr>
            <w:r>
              <w:rPr>
                <w:rFonts w:hint="eastAsia"/>
                <w:sz w:val="21"/>
                <w:szCs w:val="21"/>
              </w:rPr>
              <w:t>1）接口协议的内容、定义及格式；</w:t>
            </w:r>
          </w:p>
          <w:p w14:paraId="47171A68">
            <w:pPr>
              <w:pStyle w:val="360"/>
              <w:spacing w:line="400" w:lineRule="exact"/>
              <w:ind w:left="0"/>
              <w:rPr>
                <w:sz w:val="21"/>
                <w:szCs w:val="21"/>
              </w:rPr>
            </w:pPr>
            <w:r>
              <w:rPr>
                <w:rFonts w:hint="eastAsia"/>
                <w:sz w:val="21"/>
                <w:szCs w:val="21"/>
              </w:rPr>
              <w:t>2）设备端口及连接线缆的特性要求；</w:t>
            </w:r>
          </w:p>
          <w:p w14:paraId="3E2DA81F">
            <w:pPr>
              <w:pStyle w:val="360"/>
              <w:spacing w:line="400" w:lineRule="exact"/>
              <w:ind w:left="0"/>
              <w:rPr>
                <w:sz w:val="21"/>
                <w:szCs w:val="21"/>
              </w:rPr>
            </w:pPr>
            <w:r>
              <w:rPr>
                <w:rFonts w:hint="eastAsia"/>
                <w:sz w:val="21"/>
                <w:szCs w:val="21"/>
              </w:rPr>
              <w:t>3）为CP分配的IP地址；</w:t>
            </w:r>
          </w:p>
        </w:tc>
        <w:tc>
          <w:tcPr>
            <w:tcW w:w="2661" w:type="dxa"/>
            <w:vAlign w:val="center"/>
          </w:tcPr>
          <w:p w14:paraId="2EEF1879">
            <w:pPr>
              <w:pStyle w:val="360"/>
              <w:spacing w:line="400" w:lineRule="exact"/>
              <w:ind w:left="0"/>
              <w:jc w:val="center"/>
              <w:rPr>
                <w:sz w:val="21"/>
                <w:szCs w:val="21"/>
              </w:rPr>
            </w:pPr>
            <w:r>
              <w:rPr>
                <w:rFonts w:hint="eastAsia"/>
                <w:sz w:val="21"/>
                <w:szCs w:val="21"/>
              </w:rPr>
              <w:t>CP基础设施安装部署阶段</w:t>
            </w:r>
          </w:p>
        </w:tc>
      </w:tr>
      <w:tr w14:paraId="500BA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842" w:type="dxa"/>
            <w:vAlign w:val="center"/>
          </w:tcPr>
          <w:p w14:paraId="65954ED8">
            <w:pPr>
              <w:pStyle w:val="360"/>
              <w:spacing w:line="400" w:lineRule="exact"/>
              <w:ind w:left="0"/>
              <w:jc w:val="center"/>
              <w:rPr>
                <w:sz w:val="21"/>
                <w:szCs w:val="21"/>
              </w:rPr>
            </w:pPr>
            <w:r>
              <w:rPr>
                <w:rFonts w:hint="eastAsia"/>
                <w:sz w:val="21"/>
                <w:szCs w:val="21"/>
              </w:rPr>
              <w:t>CP.OA.D02</w:t>
            </w:r>
          </w:p>
        </w:tc>
        <w:tc>
          <w:tcPr>
            <w:tcW w:w="1985" w:type="dxa"/>
            <w:vAlign w:val="center"/>
          </w:tcPr>
          <w:p w14:paraId="63980376">
            <w:pPr>
              <w:pStyle w:val="360"/>
              <w:spacing w:line="400" w:lineRule="exact"/>
              <w:ind w:left="0"/>
              <w:jc w:val="center"/>
              <w:rPr>
                <w:sz w:val="21"/>
                <w:szCs w:val="21"/>
              </w:rPr>
            </w:pPr>
            <w:r>
              <w:rPr>
                <w:rFonts w:hint="eastAsia"/>
                <w:sz w:val="21"/>
                <w:szCs w:val="21"/>
              </w:rPr>
              <w:t>CP.OA.D02</w:t>
            </w:r>
          </w:p>
        </w:tc>
        <w:tc>
          <w:tcPr>
            <w:tcW w:w="4111" w:type="dxa"/>
            <w:vAlign w:val="center"/>
          </w:tcPr>
          <w:p w14:paraId="32779899">
            <w:pPr>
              <w:pStyle w:val="360"/>
              <w:spacing w:line="400" w:lineRule="exact"/>
              <w:ind w:left="0"/>
              <w:rPr>
                <w:sz w:val="21"/>
                <w:szCs w:val="21"/>
              </w:rPr>
            </w:pPr>
            <w:r>
              <w:rPr>
                <w:rFonts w:hint="eastAsia"/>
                <w:sz w:val="21"/>
                <w:szCs w:val="21"/>
              </w:rPr>
              <w:t>提供资料应包括但不限于以下：</w:t>
            </w:r>
          </w:p>
          <w:p w14:paraId="4CDE88C2">
            <w:pPr>
              <w:pStyle w:val="360"/>
              <w:spacing w:line="400" w:lineRule="exact"/>
              <w:ind w:left="0"/>
              <w:rPr>
                <w:sz w:val="21"/>
                <w:szCs w:val="21"/>
              </w:rPr>
            </w:pPr>
            <w:r>
              <w:rPr>
                <w:rFonts w:hint="eastAsia"/>
                <w:sz w:val="21"/>
                <w:szCs w:val="21"/>
              </w:rPr>
              <w:t>1）接口数据类型；</w:t>
            </w:r>
          </w:p>
          <w:p w14:paraId="67C5E505">
            <w:pPr>
              <w:pStyle w:val="360"/>
              <w:spacing w:line="400" w:lineRule="exact"/>
              <w:ind w:left="0"/>
              <w:rPr>
                <w:sz w:val="21"/>
                <w:szCs w:val="21"/>
              </w:rPr>
            </w:pPr>
            <w:r>
              <w:rPr>
                <w:rFonts w:hint="eastAsia"/>
                <w:sz w:val="21"/>
                <w:szCs w:val="21"/>
              </w:rPr>
              <w:t>2）CP信息所需的带宽及端口数量。</w:t>
            </w:r>
          </w:p>
        </w:tc>
        <w:tc>
          <w:tcPr>
            <w:tcW w:w="3685" w:type="dxa"/>
            <w:vAlign w:val="center"/>
          </w:tcPr>
          <w:p w14:paraId="1222112E">
            <w:pPr>
              <w:pStyle w:val="360"/>
              <w:spacing w:line="400" w:lineRule="exact"/>
              <w:ind w:left="0"/>
              <w:rPr>
                <w:sz w:val="21"/>
                <w:szCs w:val="21"/>
              </w:rPr>
            </w:pPr>
            <w:r>
              <w:rPr>
                <w:rFonts w:hint="eastAsia"/>
                <w:sz w:val="21"/>
                <w:szCs w:val="21"/>
              </w:rPr>
              <w:t>提供资料应包括但不限于以下：</w:t>
            </w:r>
          </w:p>
          <w:p w14:paraId="1C39011B">
            <w:pPr>
              <w:pStyle w:val="360"/>
              <w:spacing w:line="400" w:lineRule="exact"/>
              <w:ind w:left="0"/>
              <w:rPr>
                <w:sz w:val="21"/>
                <w:szCs w:val="21"/>
              </w:rPr>
            </w:pPr>
            <w:r>
              <w:rPr>
                <w:rFonts w:hint="eastAsia"/>
                <w:sz w:val="21"/>
                <w:szCs w:val="21"/>
              </w:rPr>
              <w:t>1）配合及确认相关资料；</w:t>
            </w:r>
          </w:p>
          <w:p w14:paraId="0322F115">
            <w:pPr>
              <w:pStyle w:val="360"/>
              <w:spacing w:line="400" w:lineRule="exact"/>
              <w:ind w:left="0"/>
              <w:rPr>
                <w:sz w:val="21"/>
                <w:szCs w:val="21"/>
              </w:rPr>
            </w:pPr>
            <w:r>
              <w:rPr>
                <w:rFonts w:hint="eastAsia"/>
                <w:sz w:val="21"/>
                <w:szCs w:val="21"/>
              </w:rPr>
              <w:t>2）按CP要求完成接口设计。</w:t>
            </w:r>
          </w:p>
        </w:tc>
        <w:tc>
          <w:tcPr>
            <w:tcW w:w="2661" w:type="dxa"/>
            <w:vAlign w:val="center"/>
          </w:tcPr>
          <w:p w14:paraId="42AB590D">
            <w:pPr>
              <w:pStyle w:val="360"/>
              <w:spacing w:line="400" w:lineRule="exact"/>
              <w:ind w:left="0"/>
              <w:jc w:val="center"/>
              <w:rPr>
                <w:sz w:val="21"/>
                <w:szCs w:val="21"/>
              </w:rPr>
            </w:pPr>
            <w:r>
              <w:rPr>
                <w:rFonts w:hint="eastAsia"/>
                <w:sz w:val="21"/>
                <w:szCs w:val="21"/>
              </w:rPr>
              <w:t>CP基础设施安装部署阶段</w:t>
            </w:r>
          </w:p>
        </w:tc>
      </w:tr>
    </w:tbl>
    <w:p w14:paraId="0F4578A8">
      <w:pPr>
        <w:pStyle w:val="5"/>
        <w:rPr>
          <w:color w:val="auto"/>
          <w:szCs w:val="21"/>
        </w:rPr>
      </w:pPr>
      <w:r>
        <w:rPr>
          <w:rFonts w:hint="eastAsia"/>
          <w:color w:val="auto"/>
          <w:szCs w:val="21"/>
        </w:rPr>
        <w:t>设计要求</w:t>
      </w:r>
    </w:p>
    <w:p w14:paraId="17ABFC08">
      <w:pPr>
        <w:pStyle w:val="1221"/>
        <w:ind w:left="0" w:firstLine="420"/>
        <w:jc w:val="both"/>
        <w:rPr>
          <w:szCs w:val="21"/>
        </w:rPr>
      </w:pPr>
      <w:r>
        <w:rPr>
          <w:rFonts w:hint="eastAsia"/>
          <w:szCs w:val="21"/>
        </w:rPr>
        <w:t>软件协议</w:t>
      </w:r>
    </w:p>
    <w:p w14:paraId="503B0178">
      <w:pPr>
        <w:widowControl/>
        <w:numPr>
          <w:ilvl w:val="0"/>
          <w:numId w:val="29"/>
        </w:numPr>
        <w:adjustRightInd w:val="0"/>
        <w:snapToGrid w:val="0"/>
        <w:rPr>
          <w:sz w:val="21"/>
          <w:szCs w:val="21"/>
        </w:rPr>
      </w:pPr>
      <w:r>
        <w:rPr>
          <w:rFonts w:hint="eastAsia"/>
          <w:sz w:val="21"/>
          <w:szCs w:val="21"/>
        </w:rPr>
        <w:t>CP与OA的接口软件协议为标准的TCP/IP协议。软件协议的具体内容（包括数据的定义，数据的格式等）在</w:t>
      </w:r>
      <w:r>
        <w:rPr>
          <w:rFonts w:hint="eastAsia"/>
          <w:sz w:val="21"/>
          <w:szCs w:val="21"/>
          <w:lang w:eastAsia="zh-CN"/>
        </w:rPr>
        <w:t>技术联络</w:t>
      </w:r>
      <w:r>
        <w:rPr>
          <w:rFonts w:hint="eastAsia"/>
          <w:sz w:val="21"/>
          <w:szCs w:val="21"/>
        </w:rPr>
        <w:t>阶段由CP承包商负责与OA运维管理单位共同确定。</w:t>
      </w:r>
    </w:p>
    <w:p w14:paraId="1E64DBFB">
      <w:pPr>
        <w:pStyle w:val="1221"/>
        <w:ind w:left="0" w:firstLine="420"/>
        <w:jc w:val="both"/>
        <w:rPr>
          <w:szCs w:val="21"/>
        </w:rPr>
      </w:pPr>
      <w:r>
        <w:rPr>
          <w:rFonts w:hint="eastAsia"/>
          <w:szCs w:val="21"/>
        </w:rPr>
        <w:t>冗余要求</w:t>
      </w:r>
    </w:p>
    <w:p w14:paraId="29BB803B">
      <w:pPr>
        <w:widowControl/>
        <w:numPr>
          <w:ilvl w:val="0"/>
          <w:numId w:val="29"/>
        </w:numPr>
        <w:adjustRightInd w:val="0"/>
        <w:snapToGrid w:val="0"/>
        <w:rPr>
          <w:sz w:val="21"/>
          <w:szCs w:val="21"/>
        </w:rPr>
      </w:pPr>
      <w:r>
        <w:rPr>
          <w:rFonts w:hint="eastAsia"/>
          <w:sz w:val="21"/>
          <w:szCs w:val="21"/>
        </w:rPr>
        <w:t>OA为CP在控制中心数据中心机房提供若干万兆以太网冗余接口，在基础设施安装部署阶段由CP承包商负责与OA运维管理单位共同确定实施细节。</w:t>
      </w:r>
    </w:p>
    <w:p w14:paraId="23E90761">
      <w:pPr>
        <w:widowControl/>
        <w:tabs>
          <w:tab w:val="left" w:pos="1497"/>
        </w:tabs>
        <w:adjustRightInd w:val="0"/>
        <w:snapToGrid w:val="0"/>
        <w:ind w:left="1497" w:firstLine="0"/>
        <w:rPr>
          <w:sz w:val="21"/>
          <w:szCs w:val="21"/>
        </w:rPr>
      </w:pPr>
    </w:p>
    <w:p w14:paraId="4242E70E">
      <w:pPr>
        <w:pStyle w:val="1221"/>
        <w:ind w:left="0" w:firstLine="420"/>
        <w:jc w:val="both"/>
        <w:rPr>
          <w:szCs w:val="21"/>
        </w:rPr>
      </w:pPr>
      <w:r>
        <w:rPr>
          <w:rFonts w:hint="eastAsia"/>
          <w:szCs w:val="21"/>
        </w:rPr>
        <w:t>电磁兼容</w:t>
      </w:r>
    </w:p>
    <w:p w14:paraId="494CA3D0">
      <w:pPr>
        <w:widowControl/>
        <w:numPr>
          <w:ilvl w:val="0"/>
          <w:numId w:val="29"/>
        </w:numPr>
        <w:adjustRightInd w:val="0"/>
        <w:snapToGrid w:val="0"/>
        <w:rPr>
          <w:sz w:val="21"/>
          <w:szCs w:val="21"/>
        </w:rPr>
      </w:pPr>
      <w:r>
        <w:rPr>
          <w:rFonts w:hint="eastAsia"/>
          <w:sz w:val="21"/>
          <w:szCs w:val="21"/>
        </w:rPr>
        <w:t>接口设备、连接线及接连电缆发送的电磁辐射符合相关标准（如：GB17799,GB9254,EN50121,GB/T24338,IEC801等）的规定；</w:t>
      </w:r>
    </w:p>
    <w:p w14:paraId="748802C0">
      <w:pPr>
        <w:widowControl/>
        <w:numPr>
          <w:ilvl w:val="0"/>
          <w:numId w:val="29"/>
        </w:numPr>
        <w:adjustRightInd w:val="0"/>
        <w:snapToGrid w:val="0"/>
        <w:rPr>
          <w:sz w:val="21"/>
          <w:szCs w:val="21"/>
        </w:rPr>
      </w:pPr>
      <w:r>
        <w:rPr>
          <w:rFonts w:hint="eastAsia"/>
          <w:sz w:val="21"/>
          <w:szCs w:val="21"/>
        </w:rPr>
        <w:t>接口设备、连接线及接连电缆在现场电磁环境中安全、稳定、可靠地工作。</w:t>
      </w:r>
    </w:p>
    <w:p w14:paraId="361E7DA5">
      <w:pPr>
        <w:pStyle w:val="5"/>
        <w:rPr>
          <w:color w:val="auto"/>
          <w:szCs w:val="21"/>
        </w:rPr>
      </w:pPr>
      <w:r>
        <w:rPr>
          <w:rFonts w:hint="eastAsia"/>
          <w:color w:val="auto"/>
          <w:szCs w:val="21"/>
        </w:rPr>
        <w:t>测试要求</w:t>
      </w:r>
    </w:p>
    <w:p w14:paraId="60A05D88">
      <w:pPr>
        <w:pStyle w:val="1221"/>
        <w:ind w:left="0" w:firstLine="420"/>
        <w:jc w:val="both"/>
        <w:rPr>
          <w:szCs w:val="21"/>
        </w:rPr>
      </w:pPr>
      <w:r>
        <w:rPr>
          <w:rFonts w:hint="eastAsia"/>
          <w:szCs w:val="21"/>
        </w:rPr>
        <w:t>以下测试将由CP承包商和OA运维管理单位共同验证。测试应由CP承包商无偿牵头，OA运维管理单位配合进行。测试程序及测试报告由CP承包商提交。</w:t>
      </w:r>
    </w:p>
    <w:tbl>
      <w:tblPr>
        <w:tblStyle w:val="87"/>
        <w:tblW w:w="12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7513"/>
        <w:gridCol w:w="2530"/>
      </w:tblGrid>
      <w:tr w14:paraId="29953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995" w:type="dxa"/>
            <w:shd w:val="clear" w:color="auto" w:fill="B3B3B3"/>
          </w:tcPr>
          <w:p w14:paraId="6BE4F1DE">
            <w:pPr>
              <w:pStyle w:val="360"/>
              <w:spacing w:line="400" w:lineRule="exact"/>
              <w:ind w:left="0"/>
              <w:jc w:val="center"/>
              <w:rPr>
                <w:sz w:val="21"/>
                <w:szCs w:val="21"/>
              </w:rPr>
            </w:pPr>
            <w:r>
              <w:rPr>
                <w:rFonts w:hint="eastAsia"/>
                <w:sz w:val="21"/>
                <w:szCs w:val="21"/>
              </w:rPr>
              <w:t>测试内容</w:t>
            </w:r>
          </w:p>
        </w:tc>
        <w:tc>
          <w:tcPr>
            <w:tcW w:w="7513" w:type="dxa"/>
            <w:shd w:val="clear" w:color="auto" w:fill="B3B3B3"/>
          </w:tcPr>
          <w:p w14:paraId="04CE9C24">
            <w:pPr>
              <w:pStyle w:val="360"/>
              <w:spacing w:line="400" w:lineRule="exact"/>
              <w:ind w:left="0"/>
              <w:jc w:val="center"/>
              <w:rPr>
                <w:sz w:val="21"/>
                <w:szCs w:val="21"/>
              </w:rPr>
            </w:pPr>
            <w:r>
              <w:rPr>
                <w:rFonts w:hint="eastAsia"/>
                <w:sz w:val="21"/>
                <w:szCs w:val="21"/>
              </w:rPr>
              <w:t>目的</w:t>
            </w:r>
          </w:p>
        </w:tc>
        <w:tc>
          <w:tcPr>
            <w:tcW w:w="2530" w:type="dxa"/>
            <w:shd w:val="clear" w:color="auto" w:fill="B3B3B3"/>
          </w:tcPr>
          <w:p w14:paraId="42334B63">
            <w:pPr>
              <w:pStyle w:val="360"/>
              <w:spacing w:line="400" w:lineRule="exact"/>
              <w:ind w:left="0"/>
              <w:jc w:val="center"/>
              <w:rPr>
                <w:sz w:val="21"/>
                <w:szCs w:val="21"/>
              </w:rPr>
            </w:pPr>
            <w:r>
              <w:rPr>
                <w:rFonts w:hint="eastAsia"/>
                <w:sz w:val="21"/>
                <w:szCs w:val="21"/>
              </w:rPr>
              <w:t>相关物理接口</w:t>
            </w:r>
          </w:p>
        </w:tc>
      </w:tr>
      <w:tr w14:paraId="4335A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330ED29F">
            <w:pPr>
              <w:pStyle w:val="360"/>
              <w:spacing w:line="400" w:lineRule="exact"/>
              <w:ind w:left="0"/>
              <w:jc w:val="center"/>
              <w:rPr>
                <w:sz w:val="21"/>
                <w:szCs w:val="21"/>
              </w:rPr>
            </w:pPr>
            <w:r>
              <w:rPr>
                <w:rFonts w:hint="eastAsia"/>
                <w:sz w:val="21"/>
                <w:szCs w:val="21"/>
              </w:rPr>
              <w:t>软件协议测试</w:t>
            </w:r>
          </w:p>
        </w:tc>
        <w:tc>
          <w:tcPr>
            <w:tcW w:w="7513" w:type="dxa"/>
          </w:tcPr>
          <w:p w14:paraId="0C18AA8B">
            <w:pPr>
              <w:pStyle w:val="360"/>
              <w:spacing w:line="400" w:lineRule="exact"/>
              <w:ind w:left="0"/>
              <w:rPr>
                <w:sz w:val="21"/>
                <w:szCs w:val="21"/>
              </w:rPr>
            </w:pPr>
            <w:r>
              <w:rPr>
                <w:rFonts w:hint="eastAsia"/>
                <w:sz w:val="21"/>
                <w:szCs w:val="21"/>
              </w:rPr>
              <w:t>检验接口软件功能，同时检验接口部分是否遵守协议文件，并澄清在协议文本中没有描述清楚的内容。协议测试应至少包含所有命令和数据的格式、收发的机制和例外处理等。协议的测试应通过实际设备进行。</w:t>
            </w:r>
          </w:p>
          <w:p w14:paraId="2F95AB73">
            <w:pPr>
              <w:pStyle w:val="360"/>
              <w:spacing w:line="400" w:lineRule="exact"/>
              <w:ind w:left="0"/>
              <w:rPr>
                <w:sz w:val="21"/>
                <w:szCs w:val="21"/>
              </w:rPr>
            </w:pPr>
            <w:r>
              <w:rPr>
                <w:rFonts w:hint="eastAsia"/>
                <w:sz w:val="21"/>
                <w:szCs w:val="21"/>
              </w:rPr>
              <w:t>软件协议测试须在详细接口协议设计确定后三个月内完成。</w:t>
            </w:r>
          </w:p>
        </w:tc>
        <w:tc>
          <w:tcPr>
            <w:tcW w:w="2530" w:type="dxa"/>
            <w:vAlign w:val="center"/>
          </w:tcPr>
          <w:p w14:paraId="0DA15703">
            <w:pPr>
              <w:pStyle w:val="360"/>
              <w:spacing w:line="400" w:lineRule="exact"/>
              <w:ind w:left="0"/>
              <w:jc w:val="center"/>
              <w:rPr>
                <w:sz w:val="21"/>
                <w:szCs w:val="21"/>
              </w:rPr>
            </w:pPr>
            <w:r>
              <w:rPr>
                <w:rFonts w:hint="eastAsia"/>
                <w:sz w:val="21"/>
                <w:szCs w:val="21"/>
              </w:rPr>
              <w:t>CP.OA.P01</w:t>
            </w:r>
          </w:p>
        </w:tc>
      </w:tr>
      <w:tr w14:paraId="0951C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47506D22">
            <w:pPr>
              <w:pStyle w:val="360"/>
              <w:spacing w:line="400" w:lineRule="exact"/>
              <w:ind w:left="0"/>
              <w:jc w:val="center"/>
              <w:rPr>
                <w:sz w:val="21"/>
                <w:szCs w:val="21"/>
              </w:rPr>
            </w:pPr>
            <w:r>
              <w:rPr>
                <w:rFonts w:hint="eastAsia"/>
                <w:sz w:val="21"/>
                <w:szCs w:val="21"/>
              </w:rPr>
              <w:t>点对点测试</w:t>
            </w:r>
          </w:p>
        </w:tc>
        <w:tc>
          <w:tcPr>
            <w:tcW w:w="7513" w:type="dxa"/>
          </w:tcPr>
          <w:p w14:paraId="5D2236A3">
            <w:pPr>
              <w:pStyle w:val="360"/>
              <w:spacing w:line="400" w:lineRule="exact"/>
              <w:ind w:left="0"/>
              <w:rPr>
                <w:sz w:val="21"/>
                <w:szCs w:val="21"/>
              </w:rPr>
            </w:pPr>
            <w:r>
              <w:rPr>
                <w:rFonts w:hint="eastAsia"/>
                <w:sz w:val="21"/>
                <w:szCs w:val="21"/>
              </w:rPr>
              <w:t>检查各接口是否恰当地、正确地连接。</w:t>
            </w:r>
          </w:p>
        </w:tc>
        <w:tc>
          <w:tcPr>
            <w:tcW w:w="2530" w:type="dxa"/>
            <w:vAlign w:val="center"/>
          </w:tcPr>
          <w:p w14:paraId="05293D23">
            <w:pPr>
              <w:pStyle w:val="360"/>
              <w:spacing w:line="400" w:lineRule="exact"/>
              <w:ind w:left="0"/>
              <w:jc w:val="center"/>
              <w:rPr>
                <w:sz w:val="21"/>
                <w:szCs w:val="21"/>
              </w:rPr>
            </w:pPr>
            <w:r>
              <w:rPr>
                <w:rFonts w:hint="eastAsia"/>
                <w:sz w:val="21"/>
                <w:szCs w:val="21"/>
              </w:rPr>
              <w:t>CP.OA.P01</w:t>
            </w:r>
          </w:p>
        </w:tc>
      </w:tr>
      <w:tr w14:paraId="0B58D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5005C45A">
            <w:pPr>
              <w:pStyle w:val="360"/>
              <w:spacing w:line="400" w:lineRule="exact"/>
              <w:ind w:left="0"/>
              <w:jc w:val="center"/>
              <w:rPr>
                <w:sz w:val="21"/>
                <w:szCs w:val="21"/>
              </w:rPr>
            </w:pPr>
            <w:r>
              <w:rPr>
                <w:rFonts w:hint="eastAsia"/>
                <w:sz w:val="21"/>
                <w:szCs w:val="21"/>
              </w:rPr>
              <w:t>目视检查</w:t>
            </w:r>
          </w:p>
        </w:tc>
        <w:tc>
          <w:tcPr>
            <w:tcW w:w="7513" w:type="dxa"/>
          </w:tcPr>
          <w:p w14:paraId="3A3E3C95">
            <w:pPr>
              <w:pStyle w:val="360"/>
              <w:spacing w:line="400" w:lineRule="exact"/>
              <w:ind w:left="0"/>
              <w:rPr>
                <w:sz w:val="21"/>
                <w:szCs w:val="21"/>
              </w:rPr>
            </w:pPr>
            <w:r>
              <w:rPr>
                <w:rFonts w:hint="eastAsia"/>
                <w:sz w:val="21"/>
                <w:szCs w:val="21"/>
              </w:rPr>
              <w:t>检查各接口是否恰当地、正确地接连到双方指定的端点上。</w:t>
            </w:r>
          </w:p>
          <w:p w14:paraId="47A0470D">
            <w:pPr>
              <w:pStyle w:val="360"/>
              <w:spacing w:line="400" w:lineRule="exact"/>
              <w:ind w:left="0"/>
              <w:rPr>
                <w:sz w:val="21"/>
                <w:szCs w:val="21"/>
              </w:rPr>
            </w:pPr>
            <w:r>
              <w:rPr>
                <w:rFonts w:hint="eastAsia"/>
                <w:sz w:val="21"/>
                <w:szCs w:val="21"/>
              </w:rPr>
              <w:t>目视检查在安装完成后在现场进行。</w:t>
            </w:r>
          </w:p>
        </w:tc>
        <w:tc>
          <w:tcPr>
            <w:tcW w:w="2530" w:type="dxa"/>
            <w:vAlign w:val="center"/>
          </w:tcPr>
          <w:p w14:paraId="69FEF707">
            <w:pPr>
              <w:pStyle w:val="360"/>
              <w:spacing w:line="400" w:lineRule="exact"/>
              <w:ind w:left="0"/>
              <w:jc w:val="center"/>
              <w:rPr>
                <w:sz w:val="21"/>
                <w:szCs w:val="21"/>
              </w:rPr>
            </w:pPr>
            <w:r>
              <w:rPr>
                <w:rFonts w:hint="eastAsia"/>
                <w:sz w:val="21"/>
                <w:szCs w:val="21"/>
              </w:rPr>
              <w:t>CP.OA.P01</w:t>
            </w:r>
          </w:p>
        </w:tc>
      </w:tr>
      <w:tr w14:paraId="2238F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50AF4D68">
            <w:pPr>
              <w:pStyle w:val="360"/>
              <w:spacing w:line="400" w:lineRule="exact"/>
              <w:ind w:left="0"/>
              <w:jc w:val="center"/>
              <w:rPr>
                <w:sz w:val="21"/>
                <w:szCs w:val="21"/>
              </w:rPr>
            </w:pPr>
            <w:r>
              <w:rPr>
                <w:rFonts w:hint="eastAsia"/>
                <w:sz w:val="21"/>
                <w:szCs w:val="21"/>
              </w:rPr>
              <w:t>通信测试</w:t>
            </w:r>
          </w:p>
        </w:tc>
        <w:tc>
          <w:tcPr>
            <w:tcW w:w="7513" w:type="dxa"/>
          </w:tcPr>
          <w:p w14:paraId="36D6B9AE">
            <w:pPr>
              <w:pStyle w:val="360"/>
              <w:spacing w:line="400" w:lineRule="exact"/>
              <w:ind w:left="0"/>
              <w:rPr>
                <w:sz w:val="21"/>
                <w:szCs w:val="21"/>
              </w:rPr>
            </w:pPr>
            <w:r>
              <w:rPr>
                <w:rFonts w:hint="eastAsia"/>
                <w:sz w:val="21"/>
                <w:szCs w:val="21"/>
              </w:rPr>
              <w:t>测试各接口双方的通电连续性及数据连接状态。</w:t>
            </w:r>
          </w:p>
          <w:p w14:paraId="0FDA411A">
            <w:pPr>
              <w:pStyle w:val="360"/>
              <w:spacing w:line="400" w:lineRule="exact"/>
              <w:ind w:left="0"/>
              <w:rPr>
                <w:sz w:val="21"/>
                <w:szCs w:val="21"/>
              </w:rPr>
            </w:pPr>
            <w:r>
              <w:rPr>
                <w:rFonts w:hint="eastAsia"/>
                <w:sz w:val="21"/>
                <w:szCs w:val="21"/>
              </w:rPr>
              <w:t>通信测试在目视检查完成后在现场进行。</w:t>
            </w:r>
          </w:p>
        </w:tc>
        <w:tc>
          <w:tcPr>
            <w:tcW w:w="2530" w:type="dxa"/>
            <w:vAlign w:val="center"/>
          </w:tcPr>
          <w:p w14:paraId="1F6D14D8">
            <w:pPr>
              <w:pStyle w:val="360"/>
              <w:spacing w:line="400" w:lineRule="exact"/>
              <w:ind w:left="0"/>
              <w:jc w:val="center"/>
              <w:rPr>
                <w:sz w:val="21"/>
                <w:szCs w:val="21"/>
              </w:rPr>
            </w:pPr>
            <w:r>
              <w:rPr>
                <w:rFonts w:hint="eastAsia"/>
                <w:sz w:val="21"/>
                <w:szCs w:val="21"/>
              </w:rPr>
              <w:t>CP.OA.P01</w:t>
            </w:r>
          </w:p>
        </w:tc>
      </w:tr>
      <w:tr w14:paraId="14E16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15A583D8">
            <w:pPr>
              <w:pStyle w:val="360"/>
              <w:spacing w:line="400" w:lineRule="exact"/>
              <w:ind w:left="0"/>
              <w:jc w:val="center"/>
              <w:rPr>
                <w:sz w:val="21"/>
                <w:szCs w:val="21"/>
              </w:rPr>
            </w:pPr>
            <w:r>
              <w:rPr>
                <w:rFonts w:hint="eastAsia"/>
                <w:sz w:val="21"/>
                <w:szCs w:val="21"/>
              </w:rPr>
              <w:t>端对端测试</w:t>
            </w:r>
          </w:p>
        </w:tc>
        <w:tc>
          <w:tcPr>
            <w:tcW w:w="7513" w:type="dxa"/>
          </w:tcPr>
          <w:p w14:paraId="05B64F41">
            <w:pPr>
              <w:pStyle w:val="360"/>
              <w:spacing w:line="400" w:lineRule="exact"/>
              <w:ind w:left="0"/>
              <w:rPr>
                <w:sz w:val="21"/>
                <w:szCs w:val="21"/>
              </w:rPr>
            </w:pPr>
            <w:r>
              <w:rPr>
                <w:rFonts w:hint="eastAsia"/>
                <w:sz w:val="21"/>
                <w:szCs w:val="21"/>
              </w:rPr>
              <w:t>检查各接口端对端是否恰当地、正确地连接。</w:t>
            </w:r>
          </w:p>
        </w:tc>
        <w:tc>
          <w:tcPr>
            <w:tcW w:w="2530" w:type="dxa"/>
            <w:vAlign w:val="center"/>
          </w:tcPr>
          <w:p w14:paraId="631407A0">
            <w:pPr>
              <w:pStyle w:val="360"/>
              <w:spacing w:line="400" w:lineRule="exact"/>
              <w:ind w:left="0"/>
              <w:jc w:val="center"/>
              <w:rPr>
                <w:sz w:val="21"/>
                <w:szCs w:val="21"/>
              </w:rPr>
            </w:pPr>
            <w:r>
              <w:rPr>
                <w:rFonts w:hint="eastAsia"/>
                <w:sz w:val="21"/>
                <w:szCs w:val="21"/>
              </w:rPr>
              <w:t>CP.OA.P01</w:t>
            </w:r>
          </w:p>
        </w:tc>
      </w:tr>
      <w:tr w14:paraId="4C3B8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6CFC214B">
            <w:pPr>
              <w:pStyle w:val="360"/>
              <w:spacing w:line="400" w:lineRule="exact"/>
              <w:ind w:left="0"/>
              <w:jc w:val="center"/>
              <w:rPr>
                <w:sz w:val="21"/>
                <w:szCs w:val="21"/>
              </w:rPr>
            </w:pPr>
            <w:r>
              <w:rPr>
                <w:rFonts w:hint="eastAsia"/>
                <w:sz w:val="21"/>
                <w:szCs w:val="21"/>
              </w:rPr>
              <w:t>功能测试</w:t>
            </w:r>
          </w:p>
        </w:tc>
        <w:tc>
          <w:tcPr>
            <w:tcW w:w="7513" w:type="dxa"/>
          </w:tcPr>
          <w:p w14:paraId="7AC4D3BA">
            <w:pPr>
              <w:pStyle w:val="360"/>
              <w:spacing w:line="400" w:lineRule="exact"/>
              <w:ind w:left="0"/>
              <w:rPr>
                <w:sz w:val="21"/>
                <w:szCs w:val="21"/>
              </w:rPr>
            </w:pPr>
            <w:r>
              <w:rPr>
                <w:rFonts w:hint="eastAsia"/>
                <w:sz w:val="21"/>
                <w:szCs w:val="21"/>
              </w:rPr>
              <w:t>验证CP与OA接口功能合符要求。</w:t>
            </w:r>
          </w:p>
          <w:p w14:paraId="7879206C">
            <w:pPr>
              <w:pStyle w:val="360"/>
              <w:spacing w:line="400" w:lineRule="exact"/>
              <w:ind w:left="0"/>
              <w:rPr>
                <w:sz w:val="21"/>
                <w:szCs w:val="21"/>
              </w:rPr>
            </w:pPr>
            <w:r>
              <w:rPr>
                <w:rFonts w:hint="eastAsia"/>
                <w:sz w:val="21"/>
                <w:szCs w:val="21"/>
              </w:rPr>
              <w:t>功能测试在通信测试完成后在现场进行。</w:t>
            </w:r>
          </w:p>
        </w:tc>
        <w:tc>
          <w:tcPr>
            <w:tcW w:w="2530" w:type="dxa"/>
            <w:vAlign w:val="center"/>
          </w:tcPr>
          <w:p w14:paraId="31B5A3F7">
            <w:pPr>
              <w:pStyle w:val="360"/>
              <w:spacing w:line="400" w:lineRule="exact"/>
              <w:ind w:left="0"/>
              <w:jc w:val="center"/>
              <w:rPr>
                <w:sz w:val="21"/>
                <w:szCs w:val="21"/>
              </w:rPr>
            </w:pPr>
            <w:r>
              <w:rPr>
                <w:rFonts w:hint="eastAsia"/>
                <w:sz w:val="21"/>
                <w:szCs w:val="21"/>
              </w:rPr>
              <w:t>CP.OA.P01</w:t>
            </w:r>
          </w:p>
        </w:tc>
      </w:tr>
      <w:tr w14:paraId="3AA18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50C5C810">
            <w:pPr>
              <w:pStyle w:val="360"/>
              <w:spacing w:line="400" w:lineRule="exact"/>
              <w:ind w:left="0"/>
              <w:jc w:val="center"/>
              <w:rPr>
                <w:sz w:val="21"/>
                <w:szCs w:val="21"/>
              </w:rPr>
            </w:pPr>
            <w:r>
              <w:rPr>
                <w:rFonts w:hint="eastAsia"/>
                <w:sz w:val="21"/>
                <w:szCs w:val="21"/>
              </w:rPr>
              <w:t>性能测试</w:t>
            </w:r>
          </w:p>
        </w:tc>
        <w:tc>
          <w:tcPr>
            <w:tcW w:w="7513" w:type="dxa"/>
          </w:tcPr>
          <w:p w14:paraId="03B3D0A1">
            <w:pPr>
              <w:pStyle w:val="360"/>
              <w:spacing w:line="400" w:lineRule="exact"/>
              <w:ind w:left="0"/>
              <w:rPr>
                <w:sz w:val="21"/>
                <w:szCs w:val="21"/>
              </w:rPr>
            </w:pPr>
            <w:r>
              <w:rPr>
                <w:rFonts w:hint="eastAsia"/>
                <w:sz w:val="21"/>
                <w:szCs w:val="21"/>
              </w:rPr>
              <w:t>验证CP与OA接口性能合符要求。</w:t>
            </w:r>
          </w:p>
          <w:p w14:paraId="7117D800">
            <w:pPr>
              <w:pStyle w:val="360"/>
              <w:spacing w:line="400" w:lineRule="exact"/>
              <w:ind w:left="0"/>
              <w:rPr>
                <w:sz w:val="21"/>
                <w:szCs w:val="21"/>
              </w:rPr>
            </w:pPr>
            <w:r>
              <w:rPr>
                <w:rFonts w:hint="eastAsia"/>
                <w:sz w:val="21"/>
                <w:szCs w:val="21"/>
              </w:rPr>
              <w:t>性能测试在功能测试完成后在现场进行。</w:t>
            </w:r>
          </w:p>
        </w:tc>
        <w:tc>
          <w:tcPr>
            <w:tcW w:w="2530" w:type="dxa"/>
            <w:vAlign w:val="center"/>
          </w:tcPr>
          <w:p w14:paraId="383775B4">
            <w:pPr>
              <w:pStyle w:val="360"/>
              <w:spacing w:line="400" w:lineRule="exact"/>
              <w:ind w:left="0"/>
              <w:jc w:val="center"/>
              <w:rPr>
                <w:sz w:val="21"/>
                <w:szCs w:val="21"/>
              </w:rPr>
            </w:pPr>
            <w:r>
              <w:rPr>
                <w:rFonts w:hint="eastAsia"/>
                <w:sz w:val="21"/>
                <w:szCs w:val="21"/>
              </w:rPr>
              <w:t>CP.OA.P01</w:t>
            </w:r>
          </w:p>
        </w:tc>
      </w:tr>
    </w:tbl>
    <w:p w14:paraId="04B93135">
      <w:pPr>
        <w:pStyle w:val="4"/>
        <w:rPr>
          <w:sz w:val="21"/>
          <w:szCs w:val="21"/>
        </w:rPr>
      </w:pPr>
      <w:bookmarkStart w:id="3675" w:name="_Toc8769"/>
      <w:bookmarkStart w:id="3676" w:name="_Toc20197"/>
      <w:bookmarkStart w:id="3677" w:name="_Toc160699584"/>
      <w:r>
        <w:rPr>
          <w:rFonts w:hint="eastAsia"/>
          <w:sz w:val="21"/>
          <w:szCs w:val="21"/>
          <w:lang w:val="en-US"/>
        </w:rPr>
        <w:t>与</w:t>
      </w:r>
      <w:r>
        <w:rPr>
          <w:rFonts w:hint="eastAsia"/>
          <w:sz w:val="21"/>
          <w:szCs w:val="21"/>
        </w:rPr>
        <w:t>专用电源系统</w:t>
      </w:r>
      <w:bookmarkEnd w:id="3673"/>
      <w:bookmarkEnd w:id="3674"/>
      <w:bookmarkEnd w:id="3675"/>
      <w:bookmarkEnd w:id="3676"/>
      <w:bookmarkEnd w:id="3677"/>
    </w:p>
    <w:p w14:paraId="6C446AD1">
      <w:pPr>
        <w:pStyle w:val="5"/>
        <w:rPr>
          <w:color w:val="auto"/>
          <w:szCs w:val="21"/>
        </w:rPr>
      </w:pPr>
      <w:r>
        <w:rPr>
          <w:rFonts w:hint="eastAsia"/>
          <w:color w:val="auto"/>
          <w:szCs w:val="21"/>
        </w:rPr>
        <w:t>接口界面图</w:t>
      </w:r>
    </w:p>
    <w:p w14:paraId="051B2ABA">
      <w:pPr>
        <w:widowControl/>
        <w:spacing w:line="240" w:lineRule="auto"/>
        <w:ind w:left="0" w:firstLine="0"/>
        <w:jc w:val="center"/>
        <w:rPr>
          <w:rFonts w:ascii="宋体" w:hAnsi="宋体" w:cs="宋体"/>
          <w:kern w:val="0"/>
          <w:sz w:val="21"/>
          <w:szCs w:val="21"/>
        </w:rPr>
      </w:pPr>
      <w:r>
        <w:drawing>
          <wp:inline distT="0" distB="0" distL="0" distR="0">
            <wp:extent cx="4399915" cy="1485265"/>
            <wp:effectExtent l="0" t="0" r="4445" b="825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26"/>
                    <a:stretch>
                      <a:fillRect/>
                    </a:stretch>
                  </pic:blipFill>
                  <pic:spPr>
                    <a:xfrm>
                      <a:off x="0" y="0"/>
                      <a:ext cx="4400000" cy="1485714"/>
                    </a:xfrm>
                    <a:prstGeom prst="rect">
                      <a:avLst/>
                    </a:prstGeom>
                  </pic:spPr>
                </pic:pic>
              </a:graphicData>
            </a:graphic>
          </wp:inline>
        </w:drawing>
      </w:r>
    </w:p>
    <w:p w14:paraId="1AB08DBF">
      <w:pPr>
        <w:jc w:val="center"/>
        <w:rPr>
          <w:sz w:val="21"/>
          <w:szCs w:val="21"/>
        </w:rPr>
      </w:pPr>
    </w:p>
    <w:p w14:paraId="54437EB5">
      <w:pPr>
        <w:pStyle w:val="5"/>
        <w:rPr>
          <w:color w:val="auto"/>
          <w:szCs w:val="21"/>
        </w:rPr>
      </w:pPr>
      <w:r>
        <w:rPr>
          <w:rFonts w:hint="eastAsia"/>
          <w:color w:val="auto"/>
          <w:szCs w:val="21"/>
        </w:rPr>
        <w:t>物理接口</w:t>
      </w:r>
    </w:p>
    <w:p w14:paraId="407CD0E9">
      <w:pPr>
        <w:pStyle w:val="1221"/>
        <w:ind w:left="0" w:firstLine="420"/>
        <w:jc w:val="both"/>
        <w:rPr>
          <w:szCs w:val="21"/>
        </w:rPr>
      </w:pPr>
      <w:r>
        <w:rPr>
          <w:rFonts w:hint="eastAsia"/>
          <w:szCs w:val="21"/>
        </w:rPr>
        <w:t>CP与UPS需按照以下接口要求一览表提供有关的接口设备及材料。</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5"/>
        <w:gridCol w:w="3119"/>
        <w:gridCol w:w="2410"/>
        <w:gridCol w:w="1559"/>
        <w:gridCol w:w="1417"/>
        <w:gridCol w:w="1276"/>
        <w:gridCol w:w="2704"/>
      </w:tblGrid>
      <w:tr w14:paraId="6ADF6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885" w:type="dxa"/>
            <w:shd w:val="clear" w:color="auto" w:fill="B3B3B3"/>
          </w:tcPr>
          <w:p w14:paraId="0E71F958">
            <w:pPr>
              <w:pStyle w:val="360"/>
              <w:spacing w:line="400" w:lineRule="exact"/>
              <w:ind w:left="0"/>
              <w:jc w:val="center"/>
              <w:rPr>
                <w:sz w:val="21"/>
                <w:szCs w:val="21"/>
              </w:rPr>
            </w:pPr>
            <w:r>
              <w:rPr>
                <w:rFonts w:hint="eastAsia"/>
                <w:sz w:val="21"/>
                <w:szCs w:val="21"/>
              </w:rPr>
              <w:t>物理接口编号</w:t>
            </w:r>
          </w:p>
        </w:tc>
        <w:tc>
          <w:tcPr>
            <w:tcW w:w="3119" w:type="dxa"/>
            <w:shd w:val="clear" w:color="auto" w:fill="B3B3B3"/>
          </w:tcPr>
          <w:p w14:paraId="1F469FC5">
            <w:pPr>
              <w:pStyle w:val="360"/>
              <w:spacing w:line="400" w:lineRule="exact"/>
              <w:ind w:left="0"/>
              <w:jc w:val="center"/>
              <w:rPr>
                <w:sz w:val="21"/>
                <w:szCs w:val="21"/>
              </w:rPr>
            </w:pPr>
            <w:r>
              <w:rPr>
                <w:rFonts w:hint="eastAsia"/>
                <w:sz w:val="21"/>
                <w:szCs w:val="21"/>
              </w:rPr>
              <w:t>CP提供</w:t>
            </w:r>
          </w:p>
        </w:tc>
        <w:tc>
          <w:tcPr>
            <w:tcW w:w="2410" w:type="dxa"/>
            <w:shd w:val="clear" w:color="auto" w:fill="B3B3B3"/>
          </w:tcPr>
          <w:p w14:paraId="2351129E">
            <w:pPr>
              <w:pStyle w:val="360"/>
              <w:spacing w:line="400" w:lineRule="exact"/>
              <w:ind w:left="0"/>
              <w:jc w:val="center"/>
              <w:rPr>
                <w:sz w:val="21"/>
                <w:szCs w:val="21"/>
              </w:rPr>
            </w:pPr>
            <w:r>
              <w:rPr>
                <w:rFonts w:hint="eastAsia"/>
                <w:szCs w:val="21"/>
              </w:rPr>
              <w:t>UPS</w:t>
            </w:r>
            <w:r>
              <w:rPr>
                <w:rFonts w:hint="eastAsia"/>
                <w:sz w:val="21"/>
                <w:szCs w:val="21"/>
              </w:rPr>
              <w:t>提供</w:t>
            </w:r>
          </w:p>
        </w:tc>
        <w:tc>
          <w:tcPr>
            <w:tcW w:w="1559" w:type="dxa"/>
            <w:shd w:val="clear" w:color="auto" w:fill="B3B3B3"/>
          </w:tcPr>
          <w:p w14:paraId="18ACAD39">
            <w:pPr>
              <w:pStyle w:val="360"/>
              <w:spacing w:line="400" w:lineRule="exact"/>
              <w:ind w:left="0"/>
              <w:jc w:val="center"/>
              <w:rPr>
                <w:sz w:val="21"/>
                <w:szCs w:val="21"/>
              </w:rPr>
            </w:pPr>
            <w:r>
              <w:rPr>
                <w:rFonts w:hint="eastAsia"/>
                <w:sz w:val="21"/>
                <w:szCs w:val="21"/>
              </w:rPr>
              <w:t>接口功能说明</w:t>
            </w:r>
          </w:p>
        </w:tc>
        <w:tc>
          <w:tcPr>
            <w:tcW w:w="1417" w:type="dxa"/>
            <w:shd w:val="clear" w:color="auto" w:fill="B3B3B3"/>
          </w:tcPr>
          <w:p w14:paraId="604D2898">
            <w:pPr>
              <w:pStyle w:val="360"/>
              <w:spacing w:line="400" w:lineRule="exact"/>
              <w:ind w:left="0"/>
              <w:jc w:val="center"/>
              <w:rPr>
                <w:sz w:val="21"/>
                <w:szCs w:val="21"/>
              </w:rPr>
            </w:pPr>
            <w:r>
              <w:rPr>
                <w:rFonts w:hint="eastAsia"/>
                <w:sz w:val="21"/>
                <w:szCs w:val="21"/>
              </w:rPr>
              <w:t>接口类型</w:t>
            </w:r>
          </w:p>
        </w:tc>
        <w:tc>
          <w:tcPr>
            <w:tcW w:w="1276" w:type="dxa"/>
            <w:shd w:val="clear" w:color="auto" w:fill="B3B3B3"/>
          </w:tcPr>
          <w:p w14:paraId="634CAC06">
            <w:pPr>
              <w:pStyle w:val="360"/>
              <w:spacing w:line="400" w:lineRule="exact"/>
              <w:ind w:left="0"/>
              <w:jc w:val="center"/>
              <w:rPr>
                <w:sz w:val="21"/>
                <w:szCs w:val="21"/>
              </w:rPr>
            </w:pPr>
            <w:r>
              <w:rPr>
                <w:rFonts w:hint="eastAsia"/>
                <w:sz w:val="21"/>
                <w:szCs w:val="21"/>
              </w:rPr>
              <w:t>接口数量</w:t>
            </w:r>
          </w:p>
        </w:tc>
        <w:tc>
          <w:tcPr>
            <w:tcW w:w="2704" w:type="dxa"/>
            <w:shd w:val="clear" w:color="auto" w:fill="B3B3B3"/>
          </w:tcPr>
          <w:p w14:paraId="5C594948">
            <w:pPr>
              <w:pStyle w:val="360"/>
              <w:spacing w:line="400" w:lineRule="exact"/>
              <w:ind w:left="0"/>
              <w:jc w:val="center"/>
              <w:rPr>
                <w:sz w:val="21"/>
                <w:szCs w:val="21"/>
              </w:rPr>
            </w:pPr>
            <w:r>
              <w:rPr>
                <w:rFonts w:hint="eastAsia"/>
                <w:sz w:val="21"/>
                <w:szCs w:val="21"/>
              </w:rPr>
              <w:t>接口位置</w:t>
            </w:r>
          </w:p>
        </w:tc>
      </w:tr>
      <w:tr w14:paraId="24F54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885" w:type="dxa"/>
            <w:vAlign w:val="center"/>
          </w:tcPr>
          <w:p w14:paraId="0F2C671A">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tc>
        <w:tc>
          <w:tcPr>
            <w:tcW w:w="3119" w:type="dxa"/>
            <w:vAlign w:val="center"/>
          </w:tcPr>
          <w:p w14:paraId="6D9F2886">
            <w:pPr>
              <w:pStyle w:val="360"/>
              <w:spacing w:line="400" w:lineRule="exact"/>
              <w:ind w:left="0"/>
              <w:jc w:val="both"/>
              <w:rPr>
                <w:sz w:val="21"/>
                <w:szCs w:val="21"/>
              </w:rPr>
            </w:pPr>
            <w:r>
              <w:rPr>
                <w:rFonts w:hint="eastAsia"/>
                <w:sz w:val="21"/>
                <w:szCs w:val="21"/>
              </w:rPr>
              <w:t>PDU配电单元至</w:t>
            </w:r>
            <w:r>
              <w:rPr>
                <w:rFonts w:hint="eastAsia"/>
                <w:sz w:val="21"/>
                <w:szCs w:val="21"/>
                <w:lang w:eastAsia="zh-CN"/>
              </w:rPr>
              <w:t>管理云平台</w:t>
            </w:r>
            <w:r>
              <w:rPr>
                <w:rFonts w:hint="eastAsia"/>
                <w:sz w:val="21"/>
                <w:szCs w:val="21"/>
              </w:rPr>
              <w:t>服务器集群系统设备的电源电缆，带标识和接头</w:t>
            </w:r>
          </w:p>
        </w:tc>
        <w:tc>
          <w:tcPr>
            <w:tcW w:w="2410" w:type="dxa"/>
            <w:vAlign w:val="center"/>
          </w:tcPr>
          <w:p w14:paraId="7AC7AA58">
            <w:pPr>
              <w:pStyle w:val="360"/>
              <w:spacing w:line="400" w:lineRule="exact"/>
              <w:ind w:left="0"/>
              <w:jc w:val="center"/>
              <w:rPr>
                <w:sz w:val="21"/>
                <w:szCs w:val="21"/>
              </w:rPr>
            </w:pPr>
            <w:r>
              <w:rPr>
                <w:rFonts w:hint="eastAsia"/>
                <w:sz w:val="21"/>
                <w:szCs w:val="21"/>
              </w:rPr>
              <w:t>PDU配电单元</w:t>
            </w:r>
          </w:p>
        </w:tc>
        <w:tc>
          <w:tcPr>
            <w:tcW w:w="1559" w:type="dxa"/>
            <w:vAlign w:val="center"/>
          </w:tcPr>
          <w:p w14:paraId="249A1611">
            <w:pPr>
              <w:pStyle w:val="360"/>
              <w:spacing w:line="400" w:lineRule="exact"/>
              <w:ind w:left="0"/>
              <w:jc w:val="center"/>
              <w:rPr>
                <w:sz w:val="21"/>
                <w:szCs w:val="21"/>
              </w:rPr>
            </w:pPr>
            <w:r>
              <w:rPr>
                <w:rFonts w:hint="eastAsia"/>
                <w:sz w:val="21"/>
                <w:szCs w:val="21"/>
              </w:rPr>
              <w:t>电力供应</w:t>
            </w:r>
          </w:p>
        </w:tc>
        <w:tc>
          <w:tcPr>
            <w:tcW w:w="1417" w:type="dxa"/>
            <w:vAlign w:val="center"/>
          </w:tcPr>
          <w:p w14:paraId="0F03AB07">
            <w:pPr>
              <w:pStyle w:val="360"/>
              <w:spacing w:line="400" w:lineRule="exact"/>
              <w:ind w:left="0"/>
              <w:jc w:val="center"/>
              <w:rPr>
                <w:sz w:val="21"/>
                <w:szCs w:val="21"/>
              </w:rPr>
            </w:pPr>
            <w:r>
              <w:rPr>
                <w:rFonts w:hint="eastAsia"/>
                <w:sz w:val="21"/>
                <w:szCs w:val="21"/>
              </w:rPr>
              <w:t>电源线接头</w:t>
            </w:r>
          </w:p>
        </w:tc>
        <w:tc>
          <w:tcPr>
            <w:tcW w:w="1276" w:type="dxa"/>
            <w:vAlign w:val="center"/>
          </w:tcPr>
          <w:p w14:paraId="18EE49B4">
            <w:pPr>
              <w:pStyle w:val="360"/>
              <w:spacing w:line="400" w:lineRule="exact"/>
              <w:ind w:left="0"/>
              <w:jc w:val="center"/>
              <w:rPr>
                <w:sz w:val="21"/>
                <w:szCs w:val="21"/>
              </w:rPr>
            </w:pPr>
            <w:r>
              <w:rPr>
                <w:rFonts w:hint="eastAsia"/>
                <w:sz w:val="21"/>
                <w:szCs w:val="21"/>
              </w:rPr>
              <w:t>若干</w:t>
            </w:r>
          </w:p>
        </w:tc>
        <w:tc>
          <w:tcPr>
            <w:tcW w:w="2704" w:type="dxa"/>
            <w:vAlign w:val="center"/>
          </w:tcPr>
          <w:p w14:paraId="6C3AAFB2">
            <w:pPr>
              <w:pStyle w:val="360"/>
              <w:spacing w:line="400" w:lineRule="exact"/>
              <w:ind w:left="0"/>
              <w:jc w:val="both"/>
              <w:rPr>
                <w:sz w:val="21"/>
                <w:szCs w:val="21"/>
              </w:rPr>
            </w:pPr>
            <w:r>
              <w:rPr>
                <w:rFonts w:hint="eastAsia"/>
                <w:sz w:val="21"/>
                <w:szCs w:val="21"/>
              </w:rPr>
              <w:t>控制中心数据中心机房</w:t>
            </w:r>
          </w:p>
        </w:tc>
      </w:tr>
      <w:tr w14:paraId="0FF52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885" w:type="dxa"/>
            <w:vAlign w:val="center"/>
          </w:tcPr>
          <w:p w14:paraId="1D7242B3">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c>
          <w:tcPr>
            <w:tcW w:w="3119" w:type="dxa"/>
            <w:vAlign w:val="center"/>
          </w:tcPr>
          <w:p w14:paraId="277C4AB6">
            <w:pPr>
              <w:pStyle w:val="360"/>
              <w:spacing w:line="400" w:lineRule="exact"/>
              <w:ind w:left="0"/>
              <w:jc w:val="both"/>
              <w:rPr>
                <w:sz w:val="21"/>
                <w:szCs w:val="21"/>
              </w:rPr>
            </w:pPr>
            <w:r>
              <w:rPr>
                <w:rFonts w:hint="eastAsia"/>
                <w:sz w:val="21"/>
                <w:szCs w:val="21"/>
              </w:rPr>
              <w:t>接地端子至</w:t>
            </w:r>
            <w:r>
              <w:rPr>
                <w:rFonts w:hint="eastAsia"/>
                <w:sz w:val="21"/>
                <w:szCs w:val="21"/>
                <w:lang w:eastAsia="zh-CN"/>
              </w:rPr>
              <w:t>管理云平台</w:t>
            </w:r>
            <w:r>
              <w:rPr>
                <w:rFonts w:hint="eastAsia"/>
                <w:sz w:val="21"/>
                <w:szCs w:val="21"/>
              </w:rPr>
              <w:t>服务器集群系统设备的接地线，带标识和接头</w:t>
            </w:r>
          </w:p>
        </w:tc>
        <w:tc>
          <w:tcPr>
            <w:tcW w:w="2410" w:type="dxa"/>
            <w:vAlign w:val="center"/>
          </w:tcPr>
          <w:p w14:paraId="5F62ABE8">
            <w:pPr>
              <w:pStyle w:val="360"/>
              <w:spacing w:line="400" w:lineRule="exact"/>
              <w:ind w:left="0"/>
              <w:jc w:val="center"/>
              <w:rPr>
                <w:sz w:val="21"/>
                <w:szCs w:val="21"/>
              </w:rPr>
            </w:pPr>
            <w:r>
              <w:rPr>
                <w:rFonts w:hint="eastAsia"/>
                <w:sz w:val="21"/>
                <w:szCs w:val="21"/>
              </w:rPr>
              <w:t>接地端子</w:t>
            </w:r>
          </w:p>
        </w:tc>
        <w:tc>
          <w:tcPr>
            <w:tcW w:w="1559" w:type="dxa"/>
            <w:vAlign w:val="center"/>
          </w:tcPr>
          <w:p w14:paraId="091BBFE7">
            <w:pPr>
              <w:pStyle w:val="360"/>
              <w:spacing w:line="400" w:lineRule="exact"/>
              <w:ind w:left="0"/>
              <w:jc w:val="center"/>
              <w:rPr>
                <w:sz w:val="21"/>
                <w:szCs w:val="21"/>
              </w:rPr>
            </w:pPr>
            <w:r>
              <w:rPr>
                <w:rFonts w:hint="eastAsia"/>
                <w:sz w:val="21"/>
                <w:szCs w:val="21"/>
              </w:rPr>
              <w:t>设备接地</w:t>
            </w:r>
          </w:p>
        </w:tc>
        <w:tc>
          <w:tcPr>
            <w:tcW w:w="1417" w:type="dxa"/>
            <w:vAlign w:val="center"/>
          </w:tcPr>
          <w:p w14:paraId="0D43B2B4">
            <w:pPr>
              <w:pStyle w:val="360"/>
              <w:spacing w:line="400" w:lineRule="exact"/>
              <w:ind w:left="0"/>
              <w:jc w:val="center"/>
              <w:rPr>
                <w:sz w:val="21"/>
                <w:szCs w:val="21"/>
              </w:rPr>
            </w:pPr>
            <w:r>
              <w:rPr>
                <w:rFonts w:hint="eastAsia"/>
                <w:sz w:val="21"/>
                <w:szCs w:val="21"/>
              </w:rPr>
              <w:t>接地线接头</w:t>
            </w:r>
          </w:p>
        </w:tc>
        <w:tc>
          <w:tcPr>
            <w:tcW w:w="1276" w:type="dxa"/>
            <w:vAlign w:val="center"/>
          </w:tcPr>
          <w:p w14:paraId="17818336">
            <w:pPr>
              <w:pStyle w:val="360"/>
              <w:spacing w:line="400" w:lineRule="exact"/>
              <w:ind w:left="0"/>
              <w:jc w:val="center"/>
              <w:rPr>
                <w:sz w:val="21"/>
                <w:szCs w:val="21"/>
              </w:rPr>
            </w:pPr>
            <w:r>
              <w:rPr>
                <w:sz w:val="21"/>
                <w:szCs w:val="21"/>
              </w:rPr>
              <w:t>若干</w:t>
            </w:r>
          </w:p>
        </w:tc>
        <w:tc>
          <w:tcPr>
            <w:tcW w:w="2704" w:type="dxa"/>
            <w:vAlign w:val="center"/>
          </w:tcPr>
          <w:p w14:paraId="0A561E14">
            <w:pPr>
              <w:pStyle w:val="360"/>
              <w:spacing w:line="400" w:lineRule="exact"/>
              <w:ind w:left="0"/>
              <w:jc w:val="both"/>
              <w:rPr>
                <w:sz w:val="21"/>
                <w:szCs w:val="21"/>
              </w:rPr>
            </w:pPr>
            <w:r>
              <w:rPr>
                <w:rFonts w:hint="eastAsia"/>
                <w:sz w:val="21"/>
                <w:szCs w:val="21"/>
              </w:rPr>
              <w:t>控制中心数据中心机房</w:t>
            </w:r>
          </w:p>
        </w:tc>
      </w:tr>
    </w:tbl>
    <w:p w14:paraId="53650238">
      <w:pPr>
        <w:pStyle w:val="5"/>
        <w:rPr>
          <w:color w:val="auto"/>
          <w:szCs w:val="21"/>
        </w:rPr>
      </w:pPr>
      <w:r>
        <w:rPr>
          <w:rFonts w:hint="eastAsia"/>
          <w:color w:val="auto"/>
          <w:szCs w:val="21"/>
        </w:rPr>
        <w:t>功能要求</w:t>
      </w:r>
    </w:p>
    <w:p w14:paraId="57354656">
      <w:pPr>
        <w:pStyle w:val="1221"/>
        <w:ind w:left="0" w:firstLine="420"/>
        <w:jc w:val="both"/>
        <w:rPr>
          <w:szCs w:val="21"/>
        </w:rPr>
      </w:pPr>
      <w:r>
        <w:rPr>
          <w:rFonts w:hint="eastAsia"/>
          <w:szCs w:val="21"/>
        </w:rPr>
        <w:t>CP与UPS需按照以下接口功能要求一览表提供有关的接口功能。</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5"/>
        <w:gridCol w:w="3402"/>
        <w:gridCol w:w="1985"/>
        <w:gridCol w:w="3260"/>
        <w:gridCol w:w="3838"/>
      </w:tblGrid>
      <w:tr w14:paraId="6E2F0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885" w:type="dxa"/>
            <w:shd w:val="clear" w:color="auto" w:fill="B3B3B3"/>
          </w:tcPr>
          <w:p w14:paraId="4FA8C142">
            <w:pPr>
              <w:pStyle w:val="360"/>
              <w:spacing w:line="400" w:lineRule="exact"/>
              <w:ind w:left="0"/>
              <w:jc w:val="center"/>
              <w:rPr>
                <w:sz w:val="21"/>
                <w:szCs w:val="21"/>
              </w:rPr>
            </w:pPr>
            <w:r>
              <w:rPr>
                <w:rFonts w:hint="eastAsia"/>
                <w:sz w:val="21"/>
                <w:szCs w:val="21"/>
              </w:rPr>
              <w:t>功能要求编号</w:t>
            </w:r>
          </w:p>
        </w:tc>
        <w:tc>
          <w:tcPr>
            <w:tcW w:w="3402" w:type="dxa"/>
            <w:shd w:val="clear" w:color="auto" w:fill="B3B3B3"/>
          </w:tcPr>
          <w:p w14:paraId="41338352">
            <w:pPr>
              <w:pStyle w:val="360"/>
              <w:spacing w:line="400" w:lineRule="exact"/>
              <w:ind w:left="0"/>
              <w:jc w:val="center"/>
              <w:rPr>
                <w:sz w:val="21"/>
                <w:szCs w:val="21"/>
              </w:rPr>
            </w:pPr>
            <w:r>
              <w:rPr>
                <w:rFonts w:hint="eastAsia"/>
                <w:sz w:val="21"/>
                <w:szCs w:val="21"/>
              </w:rPr>
              <w:t>功能要求</w:t>
            </w:r>
          </w:p>
        </w:tc>
        <w:tc>
          <w:tcPr>
            <w:tcW w:w="1985" w:type="dxa"/>
            <w:shd w:val="clear" w:color="auto" w:fill="B3B3B3"/>
          </w:tcPr>
          <w:p w14:paraId="1C041B38">
            <w:pPr>
              <w:pStyle w:val="360"/>
              <w:spacing w:line="400" w:lineRule="exact"/>
              <w:ind w:left="0"/>
              <w:jc w:val="center"/>
              <w:rPr>
                <w:sz w:val="21"/>
                <w:szCs w:val="21"/>
              </w:rPr>
            </w:pPr>
            <w:r>
              <w:rPr>
                <w:rFonts w:hint="eastAsia"/>
                <w:sz w:val="21"/>
                <w:szCs w:val="21"/>
              </w:rPr>
              <w:t>相关物理接口</w:t>
            </w:r>
          </w:p>
        </w:tc>
        <w:tc>
          <w:tcPr>
            <w:tcW w:w="3260" w:type="dxa"/>
            <w:shd w:val="clear" w:color="auto" w:fill="B3B3B3"/>
          </w:tcPr>
          <w:p w14:paraId="00B0C2D5">
            <w:pPr>
              <w:pStyle w:val="360"/>
              <w:spacing w:line="400" w:lineRule="exact"/>
              <w:ind w:left="0"/>
              <w:jc w:val="center"/>
              <w:rPr>
                <w:sz w:val="21"/>
                <w:szCs w:val="21"/>
              </w:rPr>
            </w:pPr>
            <w:r>
              <w:rPr>
                <w:rFonts w:hint="eastAsia"/>
                <w:sz w:val="21"/>
                <w:szCs w:val="21"/>
              </w:rPr>
              <w:t>CP提供</w:t>
            </w:r>
          </w:p>
        </w:tc>
        <w:tc>
          <w:tcPr>
            <w:tcW w:w="3838" w:type="dxa"/>
            <w:shd w:val="clear" w:color="auto" w:fill="B3B3B3"/>
          </w:tcPr>
          <w:p w14:paraId="4773E260">
            <w:pPr>
              <w:pStyle w:val="360"/>
              <w:spacing w:line="400" w:lineRule="exact"/>
              <w:ind w:left="0"/>
              <w:jc w:val="center"/>
              <w:rPr>
                <w:sz w:val="21"/>
                <w:szCs w:val="21"/>
              </w:rPr>
            </w:pPr>
            <w:r>
              <w:rPr>
                <w:rFonts w:hint="eastAsia"/>
                <w:sz w:val="21"/>
                <w:szCs w:val="21"/>
              </w:rPr>
              <w:t>OA提供</w:t>
            </w:r>
          </w:p>
        </w:tc>
      </w:tr>
      <w:tr w14:paraId="41976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885" w:type="dxa"/>
            <w:vAlign w:val="center"/>
          </w:tcPr>
          <w:p w14:paraId="70DB33BC">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F01</w:t>
            </w:r>
          </w:p>
        </w:tc>
        <w:tc>
          <w:tcPr>
            <w:tcW w:w="3402" w:type="dxa"/>
            <w:vAlign w:val="center"/>
          </w:tcPr>
          <w:p w14:paraId="56082449">
            <w:pPr>
              <w:pStyle w:val="360"/>
              <w:spacing w:line="400" w:lineRule="exact"/>
              <w:ind w:left="0"/>
              <w:rPr>
                <w:sz w:val="21"/>
                <w:szCs w:val="21"/>
              </w:rPr>
            </w:pPr>
            <w:r>
              <w:rPr>
                <w:rFonts w:hint="eastAsia"/>
                <w:sz w:val="21"/>
                <w:szCs w:val="21"/>
              </w:rPr>
              <w:t>为</w:t>
            </w:r>
            <w:r>
              <w:rPr>
                <w:rFonts w:hint="eastAsia"/>
                <w:sz w:val="21"/>
                <w:szCs w:val="21"/>
                <w:lang w:eastAsia="zh-CN"/>
              </w:rPr>
              <w:t>管理云平台</w:t>
            </w:r>
            <w:r>
              <w:rPr>
                <w:rFonts w:hint="eastAsia"/>
                <w:sz w:val="21"/>
                <w:szCs w:val="21"/>
              </w:rPr>
              <w:t>设备提供电力供应和设备接地</w:t>
            </w:r>
          </w:p>
        </w:tc>
        <w:tc>
          <w:tcPr>
            <w:tcW w:w="1985" w:type="dxa"/>
            <w:vAlign w:val="center"/>
          </w:tcPr>
          <w:p w14:paraId="4B64EFE8">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4114F66E">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c>
          <w:tcPr>
            <w:tcW w:w="3260" w:type="dxa"/>
            <w:vAlign w:val="center"/>
          </w:tcPr>
          <w:p w14:paraId="014D0801">
            <w:pPr>
              <w:pStyle w:val="360"/>
              <w:spacing w:line="400" w:lineRule="exact"/>
              <w:ind w:left="0"/>
              <w:rPr>
                <w:sz w:val="21"/>
                <w:szCs w:val="21"/>
              </w:rPr>
            </w:pPr>
            <w:r>
              <w:rPr>
                <w:rFonts w:hint="eastAsia"/>
                <w:sz w:val="21"/>
                <w:szCs w:val="21"/>
              </w:rPr>
              <w:t>将原OA提供的输入电源分配给</w:t>
            </w:r>
            <w:r>
              <w:rPr>
                <w:rFonts w:hint="eastAsia"/>
                <w:sz w:val="21"/>
                <w:szCs w:val="21"/>
                <w:lang w:eastAsia="zh-CN"/>
              </w:rPr>
              <w:t>管理云平台</w:t>
            </w:r>
            <w:r>
              <w:rPr>
                <w:rFonts w:hint="eastAsia"/>
                <w:sz w:val="21"/>
                <w:szCs w:val="21"/>
              </w:rPr>
              <w:t>服务器集群系统设备</w:t>
            </w:r>
          </w:p>
          <w:p w14:paraId="0EB3F40B">
            <w:pPr>
              <w:pStyle w:val="360"/>
              <w:spacing w:line="400" w:lineRule="exact"/>
              <w:ind w:left="0"/>
              <w:rPr>
                <w:sz w:val="21"/>
                <w:szCs w:val="21"/>
              </w:rPr>
            </w:pPr>
            <w:r>
              <w:rPr>
                <w:rFonts w:hint="eastAsia"/>
                <w:sz w:val="21"/>
                <w:szCs w:val="21"/>
              </w:rPr>
              <w:t>将</w:t>
            </w:r>
            <w:r>
              <w:rPr>
                <w:rFonts w:hint="eastAsia"/>
                <w:sz w:val="21"/>
                <w:szCs w:val="21"/>
                <w:lang w:eastAsia="zh-CN"/>
              </w:rPr>
              <w:t>管理云平台</w:t>
            </w:r>
            <w:r>
              <w:rPr>
                <w:rFonts w:hint="eastAsia"/>
                <w:sz w:val="21"/>
                <w:szCs w:val="21"/>
              </w:rPr>
              <w:t>服务器集群系统设备与柜内接地端子电气连通</w:t>
            </w:r>
          </w:p>
          <w:p w14:paraId="489D4D3C">
            <w:pPr>
              <w:pStyle w:val="360"/>
              <w:spacing w:line="400" w:lineRule="exact"/>
              <w:ind w:left="0"/>
              <w:jc w:val="center"/>
              <w:rPr>
                <w:sz w:val="21"/>
                <w:szCs w:val="21"/>
              </w:rPr>
            </w:pPr>
          </w:p>
        </w:tc>
        <w:tc>
          <w:tcPr>
            <w:tcW w:w="3838" w:type="dxa"/>
            <w:vAlign w:val="center"/>
          </w:tcPr>
          <w:p w14:paraId="5B3FFAFF">
            <w:pPr>
              <w:pStyle w:val="360"/>
              <w:spacing w:line="400" w:lineRule="exact"/>
              <w:ind w:left="0"/>
              <w:rPr>
                <w:sz w:val="21"/>
                <w:szCs w:val="21"/>
              </w:rPr>
            </w:pPr>
            <w:r>
              <w:rPr>
                <w:rFonts w:hint="eastAsia"/>
                <w:sz w:val="21"/>
                <w:szCs w:val="21"/>
                <w:lang w:eastAsia="zh-CN"/>
              </w:rPr>
              <w:t>管理云平台</w:t>
            </w:r>
            <w:r>
              <w:rPr>
                <w:rFonts w:hint="eastAsia"/>
                <w:sz w:val="21"/>
                <w:szCs w:val="21"/>
              </w:rPr>
              <w:t>服务器集群系统设备的电力供应及设备接地</w:t>
            </w:r>
          </w:p>
        </w:tc>
      </w:tr>
    </w:tbl>
    <w:p w14:paraId="21DFEC6F">
      <w:pPr>
        <w:pStyle w:val="5"/>
        <w:rPr>
          <w:color w:val="auto"/>
          <w:szCs w:val="21"/>
        </w:rPr>
      </w:pPr>
      <w:r>
        <w:rPr>
          <w:rFonts w:hint="eastAsia"/>
          <w:color w:val="auto"/>
          <w:szCs w:val="21"/>
        </w:rPr>
        <w:t>接口文件要求</w:t>
      </w:r>
    </w:p>
    <w:p w14:paraId="459F8F8A">
      <w:pPr>
        <w:pStyle w:val="1221"/>
        <w:ind w:left="0" w:firstLine="420"/>
        <w:jc w:val="both"/>
        <w:rPr>
          <w:szCs w:val="21"/>
        </w:rPr>
      </w:pPr>
      <w:r>
        <w:rPr>
          <w:rFonts w:hint="eastAsia"/>
          <w:szCs w:val="21"/>
        </w:rPr>
        <w:t>CP与UPS需按照以下责任划分提供有关的接口设计及测试文件。</w:t>
      </w:r>
    </w:p>
    <w:tbl>
      <w:tblPr>
        <w:tblStyle w:val="87"/>
        <w:tblW w:w="143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9"/>
        <w:gridCol w:w="3686"/>
        <w:gridCol w:w="3969"/>
        <w:gridCol w:w="3696"/>
      </w:tblGrid>
      <w:tr w14:paraId="72403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3019" w:type="dxa"/>
            <w:shd w:val="clear" w:color="auto" w:fill="B3B3B3"/>
          </w:tcPr>
          <w:p w14:paraId="3816FAA2">
            <w:pPr>
              <w:pStyle w:val="360"/>
              <w:spacing w:line="400" w:lineRule="exact"/>
              <w:ind w:left="0"/>
              <w:jc w:val="center"/>
              <w:rPr>
                <w:sz w:val="21"/>
                <w:szCs w:val="21"/>
              </w:rPr>
            </w:pPr>
            <w:r>
              <w:rPr>
                <w:rFonts w:hint="eastAsia"/>
                <w:sz w:val="21"/>
                <w:szCs w:val="21"/>
              </w:rPr>
              <w:t>接口文件要求</w:t>
            </w:r>
          </w:p>
        </w:tc>
        <w:tc>
          <w:tcPr>
            <w:tcW w:w="3686" w:type="dxa"/>
            <w:shd w:val="clear" w:color="auto" w:fill="B3B3B3"/>
          </w:tcPr>
          <w:p w14:paraId="37CA00CF">
            <w:pPr>
              <w:pStyle w:val="360"/>
              <w:spacing w:line="400" w:lineRule="exact"/>
              <w:ind w:left="0"/>
              <w:jc w:val="center"/>
              <w:rPr>
                <w:sz w:val="21"/>
                <w:szCs w:val="21"/>
              </w:rPr>
            </w:pPr>
            <w:r>
              <w:rPr>
                <w:rFonts w:hint="eastAsia"/>
                <w:sz w:val="21"/>
                <w:szCs w:val="21"/>
              </w:rPr>
              <w:t>CP责任</w:t>
            </w:r>
          </w:p>
        </w:tc>
        <w:tc>
          <w:tcPr>
            <w:tcW w:w="3969" w:type="dxa"/>
            <w:shd w:val="clear" w:color="auto" w:fill="B3B3B3"/>
          </w:tcPr>
          <w:p w14:paraId="6181E2D1">
            <w:pPr>
              <w:pStyle w:val="360"/>
              <w:spacing w:line="400" w:lineRule="exact"/>
              <w:ind w:left="0"/>
              <w:jc w:val="center"/>
              <w:rPr>
                <w:sz w:val="21"/>
                <w:szCs w:val="21"/>
              </w:rPr>
            </w:pPr>
            <w:r>
              <w:rPr>
                <w:rFonts w:hint="eastAsia"/>
                <w:sz w:val="21"/>
                <w:szCs w:val="21"/>
              </w:rPr>
              <w:t>OA责任</w:t>
            </w:r>
          </w:p>
        </w:tc>
        <w:tc>
          <w:tcPr>
            <w:tcW w:w="3696" w:type="dxa"/>
            <w:shd w:val="clear" w:color="auto" w:fill="B3B3B3"/>
          </w:tcPr>
          <w:p w14:paraId="2C454B37">
            <w:pPr>
              <w:pStyle w:val="360"/>
              <w:spacing w:line="400" w:lineRule="exact"/>
              <w:ind w:left="0"/>
              <w:jc w:val="center"/>
              <w:rPr>
                <w:sz w:val="21"/>
                <w:szCs w:val="21"/>
              </w:rPr>
            </w:pPr>
            <w:r>
              <w:rPr>
                <w:rFonts w:hint="eastAsia"/>
                <w:sz w:val="21"/>
                <w:szCs w:val="21"/>
              </w:rPr>
              <w:t>完成时间</w:t>
            </w:r>
          </w:p>
        </w:tc>
      </w:tr>
      <w:tr w14:paraId="6DBBD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65567A72">
            <w:pPr>
              <w:pStyle w:val="360"/>
              <w:spacing w:line="400" w:lineRule="exact"/>
              <w:ind w:left="0"/>
              <w:jc w:val="center"/>
              <w:rPr>
                <w:sz w:val="21"/>
                <w:szCs w:val="21"/>
              </w:rPr>
            </w:pPr>
            <w:r>
              <w:rPr>
                <w:rFonts w:hint="eastAsia"/>
                <w:sz w:val="21"/>
                <w:szCs w:val="21"/>
              </w:rPr>
              <w:t>详细接口规格书（DIS）</w:t>
            </w:r>
          </w:p>
        </w:tc>
        <w:tc>
          <w:tcPr>
            <w:tcW w:w="3686" w:type="dxa"/>
            <w:vAlign w:val="center"/>
          </w:tcPr>
          <w:p w14:paraId="4B94CF9A">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47BE411E">
            <w:pPr>
              <w:pStyle w:val="360"/>
              <w:spacing w:line="400" w:lineRule="exact"/>
              <w:ind w:left="0"/>
              <w:jc w:val="center"/>
              <w:rPr>
                <w:sz w:val="21"/>
                <w:szCs w:val="21"/>
              </w:rPr>
            </w:pPr>
            <w:r>
              <w:rPr>
                <w:rFonts w:hint="eastAsia"/>
                <w:sz w:val="21"/>
                <w:szCs w:val="21"/>
              </w:rPr>
              <w:t>协调及共同确认文件内容</w:t>
            </w:r>
          </w:p>
        </w:tc>
        <w:tc>
          <w:tcPr>
            <w:tcW w:w="3696" w:type="dxa"/>
          </w:tcPr>
          <w:p w14:paraId="4F075EA5">
            <w:pPr>
              <w:pStyle w:val="360"/>
              <w:spacing w:line="400" w:lineRule="exact"/>
              <w:ind w:left="0"/>
              <w:jc w:val="center"/>
              <w:rPr>
                <w:sz w:val="21"/>
                <w:szCs w:val="21"/>
              </w:rPr>
            </w:pPr>
            <w:r>
              <w:rPr>
                <w:rFonts w:hint="eastAsia"/>
                <w:sz w:val="21"/>
                <w:szCs w:val="21"/>
              </w:rPr>
              <w:t>CP基础设施安装部署阶段</w:t>
            </w:r>
          </w:p>
        </w:tc>
      </w:tr>
      <w:tr w14:paraId="104CA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27FD0475">
            <w:pPr>
              <w:pStyle w:val="360"/>
              <w:spacing w:line="400" w:lineRule="exact"/>
              <w:ind w:left="0"/>
              <w:jc w:val="center"/>
              <w:rPr>
                <w:sz w:val="21"/>
                <w:szCs w:val="21"/>
              </w:rPr>
            </w:pPr>
            <w:r>
              <w:rPr>
                <w:rFonts w:hint="eastAsia"/>
                <w:sz w:val="21"/>
                <w:szCs w:val="21"/>
              </w:rPr>
              <w:t>详细接口测试计划（DITP）</w:t>
            </w:r>
          </w:p>
        </w:tc>
        <w:tc>
          <w:tcPr>
            <w:tcW w:w="3686" w:type="dxa"/>
            <w:vAlign w:val="center"/>
          </w:tcPr>
          <w:p w14:paraId="4441B78B">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2C3C4523">
            <w:pPr>
              <w:pStyle w:val="360"/>
              <w:spacing w:line="400" w:lineRule="exact"/>
              <w:ind w:left="0"/>
              <w:jc w:val="center"/>
              <w:rPr>
                <w:sz w:val="21"/>
                <w:szCs w:val="21"/>
              </w:rPr>
            </w:pPr>
            <w:r>
              <w:rPr>
                <w:rFonts w:hint="eastAsia"/>
                <w:sz w:val="21"/>
                <w:szCs w:val="21"/>
              </w:rPr>
              <w:t>协调及共同确认文件内容</w:t>
            </w:r>
          </w:p>
        </w:tc>
        <w:tc>
          <w:tcPr>
            <w:tcW w:w="3696" w:type="dxa"/>
          </w:tcPr>
          <w:p w14:paraId="123CB153">
            <w:pPr>
              <w:pStyle w:val="360"/>
              <w:spacing w:line="400" w:lineRule="exact"/>
              <w:ind w:left="0"/>
              <w:jc w:val="center"/>
              <w:rPr>
                <w:sz w:val="21"/>
                <w:szCs w:val="21"/>
              </w:rPr>
            </w:pPr>
            <w:r>
              <w:rPr>
                <w:rFonts w:hint="eastAsia"/>
                <w:sz w:val="21"/>
                <w:szCs w:val="21"/>
              </w:rPr>
              <w:t>CP基础设施安装部署阶段</w:t>
            </w:r>
          </w:p>
        </w:tc>
      </w:tr>
      <w:tr w14:paraId="347B8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3019" w:type="dxa"/>
            <w:vAlign w:val="center"/>
          </w:tcPr>
          <w:p w14:paraId="7005E670">
            <w:pPr>
              <w:pStyle w:val="360"/>
              <w:spacing w:line="400" w:lineRule="exact"/>
              <w:ind w:left="0"/>
              <w:jc w:val="center"/>
              <w:rPr>
                <w:sz w:val="21"/>
                <w:szCs w:val="21"/>
              </w:rPr>
            </w:pPr>
            <w:r>
              <w:rPr>
                <w:rFonts w:hint="eastAsia"/>
                <w:sz w:val="21"/>
                <w:szCs w:val="21"/>
              </w:rPr>
              <w:t>接口测试规格书（ITSP）</w:t>
            </w:r>
          </w:p>
        </w:tc>
        <w:tc>
          <w:tcPr>
            <w:tcW w:w="3686" w:type="dxa"/>
            <w:vAlign w:val="center"/>
          </w:tcPr>
          <w:p w14:paraId="4D7662D5">
            <w:pPr>
              <w:pStyle w:val="360"/>
              <w:spacing w:line="400" w:lineRule="exact"/>
              <w:ind w:left="0"/>
              <w:jc w:val="center"/>
              <w:rPr>
                <w:sz w:val="21"/>
                <w:szCs w:val="21"/>
              </w:rPr>
            </w:pPr>
            <w:r>
              <w:rPr>
                <w:rFonts w:hint="eastAsia"/>
                <w:sz w:val="21"/>
                <w:szCs w:val="21"/>
              </w:rPr>
              <w:t>牵头负责提供</w:t>
            </w:r>
          </w:p>
        </w:tc>
        <w:tc>
          <w:tcPr>
            <w:tcW w:w="3969" w:type="dxa"/>
            <w:vAlign w:val="center"/>
          </w:tcPr>
          <w:p w14:paraId="21BECC7D">
            <w:pPr>
              <w:pStyle w:val="360"/>
              <w:spacing w:line="400" w:lineRule="exact"/>
              <w:ind w:left="0"/>
              <w:jc w:val="center"/>
              <w:rPr>
                <w:sz w:val="21"/>
                <w:szCs w:val="21"/>
              </w:rPr>
            </w:pPr>
            <w:r>
              <w:rPr>
                <w:rFonts w:hint="eastAsia"/>
                <w:sz w:val="21"/>
                <w:szCs w:val="21"/>
              </w:rPr>
              <w:t>协调及共同确认文件内容</w:t>
            </w:r>
          </w:p>
        </w:tc>
        <w:tc>
          <w:tcPr>
            <w:tcW w:w="3696" w:type="dxa"/>
          </w:tcPr>
          <w:p w14:paraId="3A4C9A36">
            <w:pPr>
              <w:pStyle w:val="360"/>
              <w:spacing w:line="400" w:lineRule="exact"/>
              <w:ind w:left="0"/>
              <w:jc w:val="center"/>
              <w:rPr>
                <w:sz w:val="21"/>
                <w:szCs w:val="21"/>
              </w:rPr>
            </w:pPr>
            <w:r>
              <w:rPr>
                <w:rFonts w:hint="eastAsia"/>
                <w:sz w:val="21"/>
                <w:szCs w:val="21"/>
              </w:rPr>
              <w:t>CP基础设施安装部署阶段</w:t>
            </w:r>
          </w:p>
        </w:tc>
      </w:tr>
    </w:tbl>
    <w:p w14:paraId="784DC60A">
      <w:pPr>
        <w:pStyle w:val="5"/>
        <w:rPr>
          <w:color w:val="auto"/>
          <w:szCs w:val="21"/>
        </w:rPr>
      </w:pPr>
      <w:r>
        <w:rPr>
          <w:rFonts w:hint="eastAsia"/>
          <w:color w:val="auto"/>
          <w:szCs w:val="21"/>
        </w:rPr>
        <w:t>参数及资料交换</w:t>
      </w:r>
    </w:p>
    <w:p w14:paraId="089D0B6C">
      <w:pPr>
        <w:pStyle w:val="1221"/>
        <w:ind w:left="0" w:firstLine="420"/>
        <w:jc w:val="both"/>
        <w:rPr>
          <w:szCs w:val="21"/>
        </w:rPr>
      </w:pPr>
      <w:r>
        <w:rPr>
          <w:rFonts w:hint="eastAsia"/>
          <w:szCs w:val="21"/>
        </w:rPr>
        <w:t>CP与UPS需按照以下交换资料接口要求一览表提供有关的接口资料。</w:t>
      </w:r>
    </w:p>
    <w:tbl>
      <w:tblPr>
        <w:tblStyle w:val="87"/>
        <w:tblW w:w="144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843"/>
        <w:gridCol w:w="4465"/>
        <w:gridCol w:w="3260"/>
        <w:gridCol w:w="2874"/>
      </w:tblGrid>
      <w:tr w14:paraId="60D12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985" w:type="dxa"/>
            <w:shd w:val="clear" w:color="auto" w:fill="B3B3B3"/>
          </w:tcPr>
          <w:p w14:paraId="169E62C7">
            <w:pPr>
              <w:pStyle w:val="360"/>
              <w:spacing w:line="400" w:lineRule="exact"/>
              <w:ind w:left="0"/>
              <w:jc w:val="center"/>
              <w:rPr>
                <w:sz w:val="21"/>
                <w:szCs w:val="21"/>
              </w:rPr>
            </w:pPr>
            <w:r>
              <w:rPr>
                <w:rFonts w:hint="eastAsia"/>
                <w:sz w:val="21"/>
                <w:szCs w:val="21"/>
              </w:rPr>
              <w:t>参数及资料编号</w:t>
            </w:r>
          </w:p>
        </w:tc>
        <w:tc>
          <w:tcPr>
            <w:tcW w:w="1843" w:type="dxa"/>
            <w:shd w:val="clear" w:color="auto" w:fill="B3B3B3"/>
          </w:tcPr>
          <w:p w14:paraId="586DBF99">
            <w:pPr>
              <w:pStyle w:val="360"/>
              <w:spacing w:line="400" w:lineRule="exact"/>
              <w:ind w:left="0"/>
              <w:jc w:val="center"/>
              <w:rPr>
                <w:sz w:val="21"/>
                <w:szCs w:val="21"/>
              </w:rPr>
            </w:pPr>
            <w:r>
              <w:rPr>
                <w:rFonts w:hint="eastAsia"/>
                <w:sz w:val="21"/>
                <w:szCs w:val="21"/>
              </w:rPr>
              <w:t>相关物理接口</w:t>
            </w:r>
          </w:p>
        </w:tc>
        <w:tc>
          <w:tcPr>
            <w:tcW w:w="4465" w:type="dxa"/>
            <w:shd w:val="clear" w:color="auto" w:fill="B3B3B3"/>
          </w:tcPr>
          <w:p w14:paraId="4DDDBFB1">
            <w:pPr>
              <w:pStyle w:val="360"/>
              <w:spacing w:line="400" w:lineRule="exact"/>
              <w:ind w:left="0"/>
              <w:jc w:val="center"/>
              <w:rPr>
                <w:sz w:val="21"/>
                <w:szCs w:val="21"/>
              </w:rPr>
            </w:pPr>
            <w:r>
              <w:rPr>
                <w:rFonts w:hint="eastAsia"/>
                <w:szCs w:val="21"/>
              </w:rPr>
              <w:t>CP</w:t>
            </w:r>
            <w:r>
              <w:rPr>
                <w:rFonts w:hint="eastAsia"/>
                <w:sz w:val="21"/>
                <w:szCs w:val="21"/>
              </w:rPr>
              <w:t>责任</w:t>
            </w:r>
          </w:p>
        </w:tc>
        <w:tc>
          <w:tcPr>
            <w:tcW w:w="3260" w:type="dxa"/>
            <w:shd w:val="clear" w:color="auto" w:fill="B3B3B3"/>
          </w:tcPr>
          <w:p w14:paraId="305E49EA">
            <w:pPr>
              <w:pStyle w:val="360"/>
              <w:spacing w:line="400" w:lineRule="exact"/>
              <w:ind w:left="0"/>
              <w:jc w:val="center"/>
              <w:rPr>
                <w:sz w:val="21"/>
                <w:szCs w:val="21"/>
              </w:rPr>
            </w:pPr>
            <w:r>
              <w:rPr>
                <w:rFonts w:hint="eastAsia"/>
                <w:sz w:val="21"/>
                <w:szCs w:val="21"/>
              </w:rPr>
              <w:t>OA责任</w:t>
            </w:r>
          </w:p>
        </w:tc>
        <w:tc>
          <w:tcPr>
            <w:tcW w:w="2874" w:type="dxa"/>
            <w:shd w:val="clear" w:color="auto" w:fill="B3B3B3"/>
          </w:tcPr>
          <w:p w14:paraId="5B81C714">
            <w:pPr>
              <w:pStyle w:val="360"/>
              <w:spacing w:line="400" w:lineRule="exact"/>
              <w:ind w:left="0"/>
              <w:jc w:val="center"/>
              <w:rPr>
                <w:sz w:val="21"/>
                <w:szCs w:val="21"/>
              </w:rPr>
            </w:pPr>
            <w:r>
              <w:rPr>
                <w:rFonts w:hint="eastAsia"/>
                <w:sz w:val="21"/>
                <w:szCs w:val="21"/>
              </w:rPr>
              <w:t>完成时间</w:t>
            </w:r>
          </w:p>
        </w:tc>
      </w:tr>
      <w:tr w14:paraId="0E67F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85" w:type="dxa"/>
            <w:vAlign w:val="center"/>
          </w:tcPr>
          <w:p w14:paraId="27C5B5BA">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w:t>
            </w:r>
            <w:r>
              <w:rPr>
                <w:rFonts w:hint="eastAsia"/>
                <w:sz w:val="21"/>
                <w:szCs w:val="21"/>
              </w:rPr>
              <w:t xml:space="preserve"> D</w:t>
            </w:r>
            <w:r>
              <w:rPr>
                <w:sz w:val="21"/>
                <w:szCs w:val="21"/>
              </w:rPr>
              <w:t>0</w:t>
            </w:r>
            <w:r>
              <w:rPr>
                <w:rFonts w:hint="eastAsia"/>
                <w:sz w:val="21"/>
                <w:szCs w:val="21"/>
              </w:rPr>
              <w:t>1</w:t>
            </w:r>
          </w:p>
        </w:tc>
        <w:tc>
          <w:tcPr>
            <w:tcW w:w="1843" w:type="dxa"/>
            <w:vAlign w:val="center"/>
          </w:tcPr>
          <w:p w14:paraId="71B3E97F">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w:t>
            </w:r>
            <w:r>
              <w:rPr>
                <w:rFonts w:hint="eastAsia"/>
                <w:sz w:val="21"/>
                <w:szCs w:val="21"/>
              </w:rPr>
              <w:t xml:space="preserve"> P01</w:t>
            </w:r>
          </w:p>
          <w:p w14:paraId="224843EF">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w:t>
            </w:r>
            <w:r>
              <w:rPr>
                <w:rFonts w:hint="eastAsia"/>
                <w:sz w:val="21"/>
                <w:szCs w:val="21"/>
              </w:rPr>
              <w:t xml:space="preserve"> P</w:t>
            </w:r>
            <w:r>
              <w:rPr>
                <w:sz w:val="21"/>
                <w:szCs w:val="21"/>
              </w:rPr>
              <w:t>0</w:t>
            </w:r>
            <w:r>
              <w:rPr>
                <w:rFonts w:hint="eastAsia"/>
                <w:sz w:val="21"/>
                <w:szCs w:val="21"/>
              </w:rPr>
              <w:t>2</w:t>
            </w:r>
          </w:p>
        </w:tc>
        <w:tc>
          <w:tcPr>
            <w:tcW w:w="4465" w:type="dxa"/>
            <w:vAlign w:val="center"/>
          </w:tcPr>
          <w:p w14:paraId="6538CF19">
            <w:pPr>
              <w:pStyle w:val="360"/>
              <w:spacing w:line="400" w:lineRule="exact"/>
              <w:ind w:left="0"/>
              <w:rPr>
                <w:sz w:val="21"/>
                <w:szCs w:val="21"/>
              </w:rPr>
            </w:pPr>
            <w:r>
              <w:rPr>
                <w:rFonts w:hint="eastAsia"/>
                <w:sz w:val="21"/>
                <w:szCs w:val="21"/>
              </w:rPr>
              <w:t>提供资料应包括但不限于以下：</w:t>
            </w:r>
          </w:p>
          <w:p w14:paraId="048C11CB">
            <w:pPr>
              <w:pStyle w:val="360"/>
              <w:spacing w:line="400" w:lineRule="exact"/>
              <w:ind w:left="0"/>
              <w:rPr>
                <w:sz w:val="21"/>
                <w:szCs w:val="21"/>
              </w:rPr>
            </w:pPr>
            <w:r>
              <w:rPr>
                <w:rFonts w:hint="eastAsia"/>
                <w:sz w:val="21"/>
                <w:szCs w:val="21"/>
              </w:rPr>
              <w:t>1）连接电缆的特性要求，整体功耗及后备时长；</w:t>
            </w:r>
          </w:p>
          <w:p w14:paraId="1CA59024">
            <w:pPr>
              <w:pStyle w:val="360"/>
              <w:spacing w:line="400" w:lineRule="exact"/>
              <w:ind w:left="0"/>
              <w:rPr>
                <w:sz w:val="21"/>
                <w:szCs w:val="21"/>
              </w:rPr>
            </w:pPr>
            <w:r>
              <w:rPr>
                <w:rFonts w:hint="eastAsia"/>
                <w:sz w:val="21"/>
                <w:szCs w:val="21"/>
              </w:rPr>
              <w:t>2)</w:t>
            </w:r>
            <w:r>
              <w:rPr>
                <w:rFonts w:hint="eastAsia"/>
                <w:sz w:val="21"/>
                <w:szCs w:val="21"/>
                <w:lang w:eastAsia="zh-CN"/>
              </w:rPr>
              <w:t>管理云平台</w:t>
            </w:r>
            <w:r>
              <w:rPr>
                <w:rFonts w:hint="eastAsia"/>
                <w:sz w:val="21"/>
                <w:szCs w:val="21"/>
              </w:rPr>
              <w:t>服务器集群系统设备接地线数量；</w:t>
            </w:r>
          </w:p>
          <w:p w14:paraId="135D2417">
            <w:pPr>
              <w:pStyle w:val="360"/>
              <w:spacing w:line="400" w:lineRule="exact"/>
              <w:ind w:left="0"/>
              <w:rPr>
                <w:sz w:val="21"/>
                <w:szCs w:val="21"/>
              </w:rPr>
            </w:pPr>
            <w:r>
              <w:rPr>
                <w:rFonts w:hint="eastAsia"/>
                <w:sz w:val="21"/>
                <w:szCs w:val="21"/>
              </w:rPr>
              <w:t>3）对输入电源的技术性能要求和接地要求。</w:t>
            </w:r>
          </w:p>
        </w:tc>
        <w:tc>
          <w:tcPr>
            <w:tcW w:w="3260" w:type="dxa"/>
            <w:vAlign w:val="center"/>
          </w:tcPr>
          <w:p w14:paraId="3F09BDFD">
            <w:pPr>
              <w:pStyle w:val="360"/>
              <w:spacing w:line="400" w:lineRule="exact"/>
              <w:ind w:left="0"/>
              <w:rPr>
                <w:sz w:val="21"/>
                <w:szCs w:val="21"/>
              </w:rPr>
            </w:pPr>
            <w:r>
              <w:rPr>
                <w:rFonts w:hint="eastAsia"/>
                <w:sz w:val="21"/>
                <w:szCs w:val="21"/>
              </w:rPr>
              <w:t>提供资料应包括但不限于以下：</w:t>
            </w:r>
          </w:p>
          <w:p w14:paraId="4BA898D4">
            <w:pPr>
              <w:pStyle w:val="360"/>
              <w:spacing w:line="400" w:lineRule="exact"/>
              <w:ind w:left="0"/>
              <w:rPr>
                <w:sz w:val="21"/>
                <w:szCs w:val="21"/>
              </w:rPr>
            </w:pPr>
            <w:r>
              <w:rPr>
                <w:rFonts w:hint="eastAsia"/>
                <w:sz w:val="21"/>
                <w:szCs w:val="21"/>
              </w:rPr>
              <w:t>1）配合及确认相关资料；</w:t>
            </w:r>
          </w:p>
          <w:p w14:paraId="1C7534BD">
            <w:pPr>
              <w:pStyle w:val="360"/>
              <w:spacing w:line="400" w:lineRule="exact"/>
              <w:ind w:left="0"/>
              <w:rPr>
                <w:sz w:val="21"/>
                <w:szCs w:val="21"/>
              </w:rPr>
            </w:pPr>
            <w:r>
              <w:rPr>
                <w:rFonts w:hint="eastAsia"/>
                <w:sz w:val="21"/>
                <w:szCs w:val="21"/>
              </w:rPr>
              <w:t>2）提供接口设计规格。</w:t>
            </w:r>
          </w:p>
        </w:tc>
        <w:tc>
          <w:tcPr>
            <w:tcW w:w="2874" w:type="dxa"/>
            <w:vAlign w:val="center"/>
          </w:tcPr>
          <w:p w14:paraId="6E7F2813">
            <w:pPr>
              <w:pStyle w:val="360"/>
              <w:spacing w:line="400" w:lineRule="exact"/>
              <w:ind w:left="0"/>
              <w:jc w:val="center"/>
              <w:rPr>
                <w:sz w:val="21"/>
                <w:szCs w:val="21"/>
              </w:rPr>
            </w:pPr>
            <w:r>
              <w:rPr>
                <w:rFonts w:hint="eastAsia"/>
                <w:sz w:val="21"/>
                <w:szCs w:val="21"/>
              </w:rPr>
              <w:t>CP基础设施安装部署阶段</w:t>
            </w:r>
          </w:p>
        </w:tc>
      </w:tr>
    </w:tbl>
    <w:p w14:paraId="45494575">
      <w:pPr>
        <w:pStyle w:val="5"/>
        <w:rPr>
          <w:color w:val="auto"/>
          <w:szCs w:val="21"/>
        </w:rPr>
      </w:pPr>
      <w:r>
        <w:rPr>
          <w:rFonts w:hint="eastAsia"/>
          <w:color w:val="auto"/>
          <w:szCs w:val="21"/>
        </w:rPr>
        <w:t>设计要求</w:t>
      </w:r>
    </w:p>
    <w:p w14:paraId="3085A91C">
      <w:pPr>
        <w:pStyle w:val="1221"/>
        <w:ind w:left="0" w:firstLine="420"/>
        <w:jc w:val="both"/>
        <w:rPr>
          <w:szCs w:val="21"/>
        </w:rPr>
      </w:pPr>
      <w:r>
        <w:rPr>
          <w:rFonts w:hint="eastAsia"/>
          <w:szCs w:val="21"/>
        </w:rPr>
        <w:t>软件协议</w:t>
      </w:r>
    </w:p>
    <w:p w14:paraId="78BC0736">
      <w:pPr>
        <w:widowControl/>
        <w:numPr>
          <w:ilvl w:val="0"/>
          <w:numId w:val="29"/>
        </w:numPr>
        <w:adjustRightInd w:val="0"/>
        <w:snapToGrid w:val="0"/>
        <w:rPr>
          <w:sz w:val="21"/>
          <w:szCs w:val="21"/>
        </w:rPr>
      </w:pPr>
      <w:r>
        <w:rPr>
          <w:rFonts w:hint="eastAsia"/>
          <w:sz w:val="21"/>
          <w:szCs w:val="21"/>
        </w:rPr>
        <w:t>不适用。</w:t>
      </w:r>
    </w:p>
    <w:p w14:paraId="0BB63F5D">
      <w:pPr>
        <w:pStyle w:val="1221"/>
        <w:ind w:left="0" w:firstLine="420"/>
        <w:jc w:val="both"/>
        <w:rPr>
          <w:szCs w:val="21"/>
        </w:rPr>
      </w:pPr>
      <w:r>
        <w:rPr>
          <w:rFonts w:hint="eastAsia"/>
          <w:szCs w:val="21"/>
        </w:rPr>
        <w:t>冗余要求</w:t>
      </w:r>
    </w:p>
    <w:p w14:paraId="1FE41F3B">
      <w:pPr>
        <w:widowControl/>
        <w:numPr>
          <w:ilvl w:val="0"/>
          <w:numId w:val="29"/>
        </w:numPr>
        <w:adjustRightInd w:val="0"/>
        <w:snapToGrid w:val="0"/>
        <w:rPr>
          <w:sz w:val="21"/>
          <w:szCs w:val="21"/>
        </w:rPr>
      </w:pPr>
      <w:r>
        <w:rPr>
          <w:rFonts w:hint="eastAsia"/>
          <w:sz w:val="21"/>
          <w:szCs w:val="21"/>
        </w:rPr>
        <w:t>不适用。</w:t>
      </w:r>
    </w:p>
    <w:p w14:paraId="2B4E58AB">
      <w:pPr>
        <w:pStyle w:val="1221"/>
        <w:ind w:left="0" w:firstLine="420"/>
        <w:jc w:val="both"/>
        <w:rPr>
          <w:szCs w:val="21"/>
        </w:rPr>
      </w:pPr>
      <w:r>
        <w:rPr>
          <w:rFonts w:hint="eastAsia"/>
          <w:szCs w:val="21"/>
        </w:rPr>
        <w:t>电磁兼容</w:t>
      </w:r>
    </w:p>
    <w:p w14:paraId="3EA2A891">
      <w:pPr>
        <w:widowControl/>
        <w:numPr>
          <w:ilvl w:val="0"/>
          <w:numId w:val="29"/>
        </w:numPr>
        <w:adjustRightInd w:val="0"/>
        <w:snapToGrid w:val="0"/>
        <w:rPr>
          <w:sz w:val="21"/>
          <w:szCs w:val="21"/>
        </w:rPr>
      </w:pPr>
      <w:r>
        <w:rPr>
          <w:rFonts w:hint="eastAsia"/>
          <w:sz w:val="21"/>
          <w:szCs w:val="21"/>
        </w:rPr>
        <w:t>接口设备、连接线及接连电缆发送的电磁辐射符合相关标准（如：GB17799,GB9254,EN50121,GB/T24338,IEC801等）的规定；</w:t>
      </w:r>
    </w:p>
    <w:p w14:paraId="2D1187C6">
      <w:pPr>
        <w:widowControl/>
        <w:numPr>
          <w:ilvl w:val="0"/>
          <w:numId w:val="29"/>
        </w:numPr>
        <w:adjustRightInd w:val="0"/>
        <w:snapToGrid w:val="0"/>
        <w:rPr>
          <w:sz w:val="21"/>
          <w:szCs w:val="21"/>
        </w:rPr>
      </w:pPr>
      <w:r>
        <w:rPr>
          <w:rFonts w:hint="eastAsia"/>
          <w:sz w:val="21"/>
          <w:szCs w:val="21"/>
        </w:rPr>
        <w:t>接口设备、连接线及接连电缆在现场电磁环境中安全、稳定、可靠地工作。</w:t>
      </w:r>
    </w:p>
    <w:p w14:paraId="29B7DC81">
      <w:pPr>
        <w:pStyle w:val="5"/>
        <w:rPr>
          <w:color w:val="auto"/>
          <w:szCs w:val="21"/>
        </w:rPr>
      </w:pPr>
      <w:r>
        <w:rPr>
          <w:rFonts w:hint="eastAsia"/>
          <w:color w:val="auto"/>
          <w:szCs w:val="21"/>
        </w:rPr>
        <w:t>测试要求</w:t>
      </w:r>
    </w:p>
    <w:p w14:paraId="591142EA">
      <w:pPr>
        <w:pStyle w:val="1221"/>
        <w:ind w:left="0" w:firstLine="420"/>
        <w:jc w:val="both"/>
        <w:rPr>
          <w:szCs w:val="21"/>
        </w:rPr>
      </w:pPr>
      <w:r>
        <w:rPr>
          <w:rFonts w:hint="eastAsia"/>
          <w:szCs w:val="21"/>
        </w:rPr>
        <w:t>以下测试将由CP承包商与UPS承包商共同验证。测试应由CP承包商牵头，OA运维管理单位配合进行。测试程序及测试报告由CP承包商提交。</w:t>
      </w:r>
    </w:p>
    <w:tbl>
      <w:tblPr>
        <w:tblStyle w:val="87"/>
        <w:tblW w:w="12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7513"/>
        <w:gridCol w:w="2530"/>
      </w:tblGrid>
      <w:tr w14:paraId="1DA30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1995" w:type="dxa"/>
            <w:shd w:val="clear" w:color="auto" w:fill="B3B3B3"/>
          </w:tcPr>
          <w:p w14:paraId="33A84E3A">
            <w:pPr>
              <w:pStyle w:val="360"/>
              <w:spacing w:line="400" w:lineRule="exact"/>
              <w:ind w:left="0"/>
              <w:jc w:val="center"/>
              <w:rPr>
                <w:sz w:val="21"/>
                <w:szCs w:val="21"/>
              </w:rPr>
            </w:pPr>
            <w:r>
              <w:rPr>
                <w:rFonts w:hint="eastAsia"/>
                <w:sz w:val="21"/>
                <w:szCs w:val="21"/>
              </w:rPr>
              <w:t>测试内容</w:t>
            </w:r>
          </w:p>
        </w:tc>
        <w:tc>
          <w:tcPr>
            <w:tcW w:w="7513" w:type="dxa"/>
            <w:shd w:val="clear" w:color="auto" w:fill="B3B3B3"/>
          </w:tcPr>
          <w:p w14:paraId="06972EC4">
            <w:pPr>
              <w:pStyle w:val="360"/>
              <w:spacing w:line="400" w:lineRule="exact"/>
              <w:ind w:left="0"/>
              <w:jc w:val="center"/>
              <w:rPr>
                <w:sz w:val="21"/>
                <w:szCs w:val="21"/>
              </w:rPr>
            </w:pPr>
            <w:r>
              <w:rPr>
                <w:rFonts w:hint="eastAsia"/>
                <w:sz w:val="21"/>
                <w:szCs w:val="21"/>
              </w:rPr>
              <w:t>目的</w:t>
            </w:r>
          </w:p>
        </w:tc>
        <w:tc>
          <w:tcPr>
            <w:tcW w:w="2530" w:type="dxa"/>
            <w:shd w:val="clear" w:color="auto" w:fill="B3B3B3"/>
          </w:tcPr>
          <w:p w14:paraId="2241723B">
            <w:pPr>
              <w:pStyle w:val="360"/>
              <w:spacing w:line="400" w:lineRule="exact"/>
              <w:ind w:left="0"/>
              <w:jc w:val="center"/>
              <w:rPr>
                <w:sz w:val="21"/>
                <w:szCs w:val="21"/>
              </w:rPr>
            </w:pPr>
            <w:r>
              <w:rPr>
                <w:rFonts w:hint="eastAsia"/>
                <w:sz w:val="21"/>
                <w:szCs w:val="21"/>
              </w:rPr>
              <w:t>相关物理接口</w:t>
            </w:r>
          </w:p>
        </w:tc>
      </w:tr>
      <w:tr w14:paraId="2CE3B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52F26EC9">
            <w:pPr>
              <w:pStyle w:val="360"/>
              <w:spacing w:line="400" w:lineRule="exact"/>
              <w:ind w:left="0"/>
              <w:jc w:val="center"/>
              <w:rPr>
                <w:sz w:val="21"/>
                <w:szCs w:val="21"/>
              </w:rPr>
            </w:pPr>
            <w:r>
              <w:rPr>
                <w:rFonts w:hint="eastAsia"/>
                <w:sz w:val="21"/>
                <w:szCs w:val="21"/>
              </w:rPr>
              <w:t>软件协议测试</w:t>
            </w:r>
          </w:p>
        </w:tc>
        <w:tc>
          <w:tcPr>
            <w:tcW w:w="7513" w:type="dxa"/>
          </w:tcPr>
          <w:p w14:paraId="37CFF2E9">
            <w:pPr>
              <w:pStyle w:val="360"/>
              <w:spacing w:line="400" w:lineRule="exact"/>
              <w:ind w:left="0"/>
              <w:rPr>
                <w:sz w:val="21"/>
                <w:szCs w:val="21"/>
              </w:rPr>
            </w:pPr>
            <w:r>
              <w:rPr>
                <w:rFonts w:hint="eastAsia"/>
                <w:sz w:val="21"/>
                <w:szCs w:val="21"/>
              </w:rPr>
              <w:t>不适用</w:t>
            </w:r>
          </w:p>
        </w:tc>
        <w:tc>
          <w:tcPr>
            <w:tcW w:w="2530" w:type="dxa"/>
            <w:vAlign w:val="center"/>
          </w:tcPr>
          <w:p w14:paraId="4E011879">
            <w:pPr>
              <w:pStyle w:val="360"/>
              <w:spacing w:line="400" w:lineRule="exact"/>
              <w:ind w:left="0"/>
              <w:jc w:val="center"/>
              <w:rPr>
                <w:sz w:val="21"/>
                <w:szCs w:val="21"/>
              </w:rPr>
            </w:pPr>
            <w:r>
              <w:rPr>
                <w:rFonts w:hint="eastAsia"/>
                <w:sz w:val="21"/>
                <w:szCs w:val="21"/>
              </w:rPr>
              <w:t>不适用</w:t>
            </w:r>
          </w:p>
        </w:tc>
      </w:tr>
      <w:tr w14:paraId="41265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78753233">
            <w:pPr>
              <w:pStyle w:val="360"/>
              <w:spacing w:line="400" w:lineRule="exact"/>
              <w:ind w:left="0"/>
              <w:jc w:val="center"/>
              <w:rPr>
                <w:sz w:val="21"/>
                <w:szCs w:val="21"/>
              </w:rPr>
            </w:pPr>
            <w:r>
              <w:rPr>
                <w:rFonts w:hint="eastAsia"/>
                <w:sz w:val="21"/>
                <w:szCs w:val="21"/>
              </w:rPr>
              <w:t>点对点测试</w:t>
            </w:r>
          </w:p>
        </w:tc>
        <w:tc>
          <w:tcPr>
            <w:tcW w:w="7513" w:type="dxa"/>
          </w:tcPr>
          <w:p w14:paraId="1B57D1A9">
            <w:pPr>
              <w:pStyle w:val="360"/>
              <w:spacing w:line="400" w:lineRule="exact"/>
              <w:ind w:left="0"/>
              <w:rPr>
                <w:sz w:val="21"/>
                <w:szCs w:val="21"/>
              </w:rPr>
            </w:pPr>
            <w:r>
              <w:rPr>
                <w:rFonts w:hint="eastAsia" w:ascii="宋体" w:hAnsi="宋体"/>
                <w:sz w:val="21"/>
                <w:szCs w:val="21"/>
              </w:rPr>
              <w:t>检查各接口是否恰当地、正确地连接。</w:t>
            </w:r>
          </w:p>
        </w:tc>
        <w:tc>
          <w:tcPr>
            <w:tcW w:w="2530" w:type="dxa"/>
            <w:vAlign w:val="center"/>
          </w:tcPr>
          <w:p w14:paraId="50ACDD4A">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35C96AC3">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r>
      <w:tr w14:paraId="693AB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3C72E122">
            <w:pPr>
              <w:pStyle w:val="360"/>
              <w:spacing w:line="400" w:lineRule="exact"/>
              <w:ind w:left="0"/>
              <w:jc w:val="center"/>
              <w:rPr>
                <w:sz w:val="21"/>
                <w:szCs w:val="21"/>
              </w:rPr>
            </w:pPr>
            <w:r>
              <w:rPr>
                <w:rFonts w:hint="eastAsia"/>
                <w:sz w:val="21"/>
                <w:szCs w:val="21"/>
              </w:rPr>
              <w:t>目视检查</w:t>
            </w:r>
          </w:p>
        </w:tc>
        <w:tc>
          <w:tcPr>
            <w:tcW w:w="7513" w:type="dxa"/>
          </w:tcPr>
          <w:p w14:paraId="070B7232">
            <w:pPr>
              <w:pStyle w:val="360"/>
              <w:spacing w:line="400" w:lineRule="exact"/>
              <w:ind w:left="0"/>
              <w:rPr>
                <w:sz w:val="21"/>
                <w:szCs w:val="21"/>
              </w:rPr>
            </w:pPr>
            <w:r>
              <w:rPr>
                <w:rFonts w:hint="eastAsia"/>
                <w:sz w:val="21"/>
                <w:szCs w:val="21"/>
              </w:rPr>
              <w:t>检查各接口是否恰当地、正确地接连到双方指定的端点上。</w:t>
            </w:r>
          </w:p>
          <w:p w14:paraId="6620D850">
            <w:pPr>
              <w:pStyle w:val="360"/>
              <w:spacing w:line="400" w:lineRule="exact"/>
              <w:ind w:left="0"/>
              <w:rPr>
                <w:sz w:val="21"/>
                <w:szCs w:val="21"/>
              </w:rPr>
            </w:pPr>
            <w:r>
              <w:rPr>
                <w:rFonts w:hint="eastAsia"/>
                <w:sz w:val="21"/>
                <w:szCs w:val="21"/>
              </w:rPr>
              <w:t>目视检查在安装完成后在现场进行。</w:t>
            </w:r>
          </w:p>
        </w:tc>
        <w:tc>
          <w:tcPr>
            <w:tcW w:w="2530" w:type="dxa"/>
            <w:vAlign w:val="center"/>
          </w:tcPr>
          <w:p w14:paraId="16ED8CBC">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74BEBE98">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r>
      <w:tr w14:paraId="0FF71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35FE4ADF">
            <w:pPr>
              <w:pStyle w:val="360"/>
              <w:spacing w:line="400" w:lineRule="exact"/>
              <w:ind w:left="0"/>
              <w:jc w:val="center"/>
              <w:rPr>
                <w:sz w:val="21"/>
                <w:szCs w:val="21"/>
              </w:rPr>
            </w:pPr>
            <w:r>
              <w:rPr>
                <w:rFonts w:hint="eastAsia"/>
                <w:sz w:val="21"/>
                <w:szCs w:val="21"/>
              </w:rPr>
              <w:t>通信测试</w:t>
            </w:r>
          </w:p>
        </w:tc>
        <w:tc>
          <w:tcPr>
            <w:tcW w:w="7513" w:type="dxa"/>
          </w:tcPr>
          <w:p w14:paraId="18138A98">
            <w:pPr>
              <w:pStyle w:val="360"/>
              <w:spacing w:line="400" w:lineRule="exact"/>
              <w:ind w:left="0"/>
              <w:rPr>
                <w:sz w:val="21"/>
                <w:szCs w:val="21"/>
              </w:rPr>
            </w:pPr>
            <w:r>
              <w:rPr>
                <w:rFonts w:hint="eastAsia"/>
                <w:sz w:val="21"/>
                <w:szCs w:val="21"/>
              </w:rPr>
              <w:t>不适用</w:t>
            </w:r>
          </w:p>
        </w:tc>
        <w:tc>
          <w:tcPr>
            <w:tcW w:w="2530" w:type="dxa"/>
            <w:vAlign w:val="center"/>
          </w:tcPr>
          <w:p w14:paraId="3AE1B3F0">
            <w:pPr>
              <w:pStyle w:val="360"/>
              <w:spacing w:line="400" w:lineRule="exact"/>
              <w:ind w:left="0"/>
              <w:jc w:val="center"/>
              <w:rPr>
                <w:sz w:val="21"/>
                <w:szCs w:val="21"/>
              </w:rPr>
            </w:pPr>
            <w:r>
              <w:rPr>
                <w:rFonts w:hint="eastAsia"/>
                <w:sz w:val="21"/>
                <w:szCs w:val="21"/>
              </w:rPr>
              <w:t>不适用</w:t>
            </w:r>
          </w:p>
        </w:tc>
      </w:tr>
      <w:tr w14:paraId="3FDE6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6F2458B0">
            <w:pPr>
              <w:pStyle w:val="360"/>
              <w:spacing w:line="400" w:lineRule="exact"/>
              <w:ind w:left="0"/>
              <w:jc w:val="center"/>
              <w:rPr>
                <w:sz w:val="21"/>
                <w:szCs w:val="21"/>
              </w:rPr>
            </w:pPr>
            <w:r>
              <w:rPr>
                <w:rFonts w:hint="eastAsia"/>
                <w:sz w:val="21"/>
                <w:szCs w:val="21"/>
              </w:rPr>
              <w:t>端对端测试</w:t>
            </w:r>
          </w:p>
        </w:tc>
        <w:tc>
          <w:tcPr>
            <w:tcW w:w="7513" w:type="dxa"/>
          </w:tcPr>
          <w:p w14:paraId="32B6F289">
            <w:pPr>
              <w:spacing w:before="80" w:after="80" w:line="240" w:lineRule="auto"/>
              <w:ind w:left="0" w:firstLine="0"/>
              <w:rPr>
                <w:rFonts w:ascii="宋体" w:hAnsi="宋体"/>
                <w:sz w:val="21"/>
                <w:szCs w:val="21"/>
              </w:rPr>
            </w:pPr>
            <w:r>
              <w:rPr>
                <w:rFonts w:hint="eastAsia" w:ascii="宋体" w:hAnsi="宋体"/>
                <w:sz w:val="21"/>
                <w:szCs w:val="21"/>
              </w:rPr>
              <w:t>检查各接口端对端是否恰当地、正确地连接。</w:t>
            </w:r>
          </w:p>
        </w:tc>
        <w:tc>
          <w:tcPr>
            <w:tcW w:w="2530" w:type="dxa"/>
            <w:vAlign w:val="center"/>
          </w:tcPr>
          <w:p w14:paraId="5D30A8A8">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3305E580">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r>
      <w:tr w14:paraId="53A66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14381EC4">
            <w:pPr>
              <w:pStyle w:val="360"/>
              <w:spacing w:line="400" w:lineRule="exact"/>
              <w:ind w:left="0"/>
              <w:jc w:val="center"/>
              <w:rPr>
                <w:sz w:val="21"/>
                <w:szCs w:val="21"/>
              </w:rPr>
            </w:pPr>
            <w:r>
              <w:rPr>
                <w:rFonts w:hint="eastAsia"/>
                <w:sz w:val="21"/>
                <w:szCs w:val="21"/>
              </w:rPr>
              <w:t>功能测试</w:t>
            </w:r>
          </w:p>
        </w:tc>
        <w:tc>
          <w:tcPr>
            <w:tcW w:w="7513" w:type="dxa"/>
          </w:tcPr>
          <w:p w14:paraId="59ADB7AA">
            <w:pPr>
              <w:pStyle w:val="360"/>
              <w:spacing w:line="400" w:lineRule="exact"/>
              <w:ind w:left="0"/>
              <w:rPr>
                <w:sz w:val="21"/>
                <w:szCs w:val="21"/>
              </w:rPr>
            </w:pPr>
            <w:r>
              <w:rPr>
                <w:rFonts w:hint="eastAsia"/>
                <w:sz w:val="21"/>
                <w:szCs w:val="21"/>
              </w:rPr>
              <w:t>验证CP与</w:t>
            </w:r>
            <w:r>
              <w:rPr>
                <w:rFonts w:hint="eastAsia"/>
                <w:szCs w:val="21"/>
              </w:rPr>
              <w:t>UPS</w:t>
            </w:r>
            <w:r>
              <w:rPr>
                <w:rFonts w:hint="eastAsia"/>
                <w:sz w:val="21"/>
                <w:szCs w:val="21"/>
              </w:rPr>
              <w:t>接口功能合符要求。</w:t>
            </w:r>
          </w:p>
          <w:p w14:paraId="6DE02560">
            <w:pPr>
              <w:pStyle w:val="360"/>
              <w:spacing w:line="400" w:lineRule="exact"/>
              <w:ind w:left="0"/>
              <w:rPr>
                <w:sz w:val="21"/>
                <w:szCs w:val="21"/>
              </w:rPr>
            </w:pPr>
            <w:r>
              <w:rPr>
                <w:rFonts w:hint="eastAsia"/>
                <w:sz w:val="21"/>
                <w:szCs w:val="21"/>
              </w:rPr>
              <w:t>功能测试在目视测试完成后在现场进行。</w:t>
            </w:r>
          </w:p>
        </w:tc>
        <w:tc>
          <w:tcPr>
            <w:tcW w:w="2530" w:type="dxa"/>
            <w:vAlign w:val="center"/>
          </w:tcPr>
          <w:p w14:paraId="7E88CC95">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3DE3C648">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r>
      <w:tr w14:paraId="7CDA0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995" w:type="dxa"/>
            <w:vAlign w:val="center"/>
          </w:tcPr>
          <w:p w14:paraId="455137FC">
            <w:pPr>
              <w:pStyle w:val="360"/>
              <w:spacing w:line="400" w:lineRule="exact"/>
              <w:ind w:left="0"/>
              <w:jc w:val="center"/>
              <w:rPr>
                <w:sz w:val="21"/>
                <w:szCs w:val="21"/>
              </w:rPr>
            </w:pPr>
            <w:r>
              <w:rPr>
                <w:rFonts w:hint="eastAsia"/>
                <w:sz w:val="21"/>
                <w:szCs w:val="21"/>
              </w:rPr>
              <w:t>性能测试</w:t>
            </w:r>
          </w:p>
        </w:tc>
        <w:tc>
          <w:tcPr>
            <w:tcW w:w="7513" w:type="dxa"/>
          </w:tcPr>
          <w:p w14:paraId="04EE17E4">
            <w:pPr>
              <w:pStyle w:val="360"/>
              <w:spacing w:line="400" w:lineRule="exact"/>
              <w:ind w:left="0"/>
              <w:rPr>
                <w:sz w:val="21"/>
                <w:szCs w:val="21"/>
              </w:rPr>
            </w:pPr>
            <w:r>
              <w:rPr>
                <w:rFonts w:hint="eastAsia"/>
                <w:sz w:val="21"/>
                <w:szCs w:val="21"/>
              </w:rPr>
              <w:t>验证CP与</w:t>
            </w:r>
            <w:r>
              <w:rPr>
                <w:rFonts w:hint="eastAsia"/>
                <w:szCs w:val="21"/>
              </w:rPr>
              <w:t>UPS</w:t>
            </w:r>
            <w:r>
              <w:rPr>
                <w:rFonts w:hint="eastAsia"/>
                <w:sz w:val="21"/>
                <w:szCs w:val="21"/>
              </w:rPr>
              <w:t>接口性能合符要求。</w:t>
            </w:r>
          </w:p>
          <w:p w14:paraId="5573CF06">
            <w:pPr>
              <w:pStyle w:val="360"/>
              <w:spacing w:line="400" w:lineRule="exact"/>
              <w:ind w:left="0"/>
              <w:rPr>
                <w:sz w:val="21"/>
                <w:szCs w:val="21"/>
              </w:rPr>
            </w:pPr>
            <w:r>
              <w:rPr>
                <w:rFonts w:hint="eastAsia"/>
                <w:sz w:val="21"/>
                <w:szCs w:val="21"/>
              </w:rPr>
              <w:t>性能测试在功能测试完成后在现场进行。</w:t>
            </w:r>
          </w:p>
        </w:tc>
        <w:tc>
          <w:tcPr>
            <w:tcW w:w="2530" w:type="dxa"/>
            <w:vAlign w:val="center"/>
          </w:tcPr>
          <w:p w14:paraId="32B50D62">
            <w:pPr>
              <w:pStyle w:val="360"/>
              <w:spacing w:line="400" w:lineRule="exact"/>
              <w:ind w:left="0"/>
              <w:jc w:val="center"/>
              <w:rPr>
                <w:sz w:val="21"/>
                <w:szCs w:val="21"/>
              </w:rPr>
            </w:pPr>
            <w:r>
              <w:rPr>
                <w:rFonts w:hint="eastAsia"/>
                <w:sz w:val="21"/>
                <w:szCs w:val="21"/>
              </w:rPr>
              <w:t>CP.UPS</w:t>
            </w:r>
            <w:r>
              <w:rPr>
                <w:sz w:val="21"/>
                <w:szCs w:val="21"/>
              </w:rPr>
              <w:t>.</w:t>
            </w:r>
            <w:r>
              <w:rPr>
                <w:rFonts w:hint="eastAsia"/>
                <w:sz w:val="21"/>
                <w:szCs w:val="21"/>
              </w:rPr>
              <w:t xml:space="preserve"> P01</w:t>
            </w:r>
          </w:p>
          <w:p w14:paraId="435A6011">
            <w:pPr>
              <w:pStyle w:val="360"/>
              <w:spacing w:line="400" w:lineRule="exact"/>
              <w:ind w:left="0"/>
              <w:jc w:val="center"/>
              <w:rPr>
                <w:sz w:val="21"/>
                <w:szCs w:val="21"/>
              </w:rPr>
            </w:pPr>
            <w:r>
              <w:rPr>
                <w:rFonts w:hint="eastAsia"/>
                <w:sz w:val="21"/>
                <w:szCs w:val="21"/>
              </w:rPr>
              <w:t>CP</w:t>
            </w:r>
            <w:r>
              <w:rPr>
                <w:sz w:val="21"/>
                <w:szCs w:val="21"/>
              </w:rPr>
              <w:t>.</w:t>
            </w:r>
            <w:r>
              <w:rPr>
                <w:rFonts w:hint="eastAsia"/>
                <w:sz w:val="21"/>
                <w:szCs w:val="21"/>
              </w:rPr>
              <w:t>UPS</w:t>
            </w:r>
            <w:r>
              <w:rPr>
                <w:sz w:val="21"/>
                <w:szCs w:val="21"/>
              </w:rPr>
              <w:t>. P0</w:t>
            </w:r>
            <w:r>
              <w:rPr>
                <w:rFonts w:hint="eastAsia"/>
                <w:sz w:val="21"/>
                <w:szCs w:val="21"/>
              </w:rPr>
              <w:t>2</w:t>
            </w:r>
          </w:p>
        </w:tc>
      </w:tr>
    </w:tbl>
    <w:p w14:paraId="01DE5D4D">
      <w:pPr>
        <w:jc w:val="center"/>
        <w:rPr>
          <w:sz w:val="21"/>
          <w:szCs w:val="21"/>
        </w:rPr>
      </w:pPr>
      <w:bookmarkStart w:id="3678" w:name="_Toc354403286"/>
      <w:bookmarkStart w:id="3679" w:name="_Toc360180765"/>
    </w:p>
    <w:p w14:paraId="3CB3B4B9">
      <w:pPr>
        <w:ind w:left="0" w:firstLine="0"/>
        <w:rPr>
          <w:sz w:val="21"/>
          <w:szCs w:val="21"/>
        </w:rPr>
      </w:pPr>
    </w:p>
    <w:bookmarkEnd w:id="3678"/>
    <w:bookmarkEnd w:id="3679"/>
    <w:p w14:paraId="7D4742E6">
      <w:pPr>
        <w:pStyle w:val="4"/>
        <w:rPr>
          <w:sz w:val="21"/>
          <w:szCs w:val="21"/>
        </w:rPr>
      </w:pPr>
      <w:bookmarkStart w:id="3680" w:name="_Toc11169"/>
      <w:r>
        <w:rPr>
          <w:rFonts w:hint="eastAsia"/>
          <w:sz w:val="21"/>
          <w:szCs w:val="21"/>
          <w:lang w:val="en-US"/>
        </w:rPr>
        <w:t>与线网</w:t>
      </w:r>
      <w:r>
        <w:rPr>
          <w:rFonts w:hint="eastAsia"/>
          <w:sz w:val="21"/>
          <w:szCs w:val="21"/>
          <w:lang w:val="en-US" w:eastAsia="zh-CN"/>
        </w:rPr>
        <w:t>云平台</w:t>
      </w:r>
      <w:r>
        <w:rPr>
          <w:rFonts w:hint="eastAsia"/>
          <w:sz w:val="21"/>
          <w:szCs w:val="21"/>
          <w:lang w:val="en-US"/>
        </w:rPr>
        <w:t>（预留）</w:t>
      </w:r>
      <w:bookmarkEnd w:id="3680"/>
    </w:p>
    <w:p w14:paraId="2B4F80D7">
      <w:pPr>
        <w:keepLines/>
        <w:widowControl/>
        <w:adjustRightInd w:val="0"/>
        <w:snapToGrid w:val="0"/>
        <w:ind w:firstLine="420" w:firstLineChars="200"/>
        <w:rPr>
          <w:sz w:val="21"/>
          <w:szCs w:val="21"/>
        </w:rPr>
      </w:pPr>
      <w:r>
        <w:rPr>
          <w:rFonts w:hint="eastAsia"/>
          <w:sz w:val="21"/>
          <w:szCs w:val="21"/>
        </w:rPr>
        <w:t>线网</w:t>
      </w:r>
      <w:r>
        <w:rPr>
          <w:rFonts w:hint="eastAsia"/>
          <w:sz w:val="21"/>
          <w:szCs w:val="21"/>
          <w:lang w:eastAsia="zh-CN"/>
        </w:rPr>
        <w:t>云平台</w:t>
      </w:r>
      <w:r>
        <w:rPr>
          <w:rFonts w:hint="eastAsia"/>
          <w:sz w:val="21"/>
          <w:szCs w:val="21"/>
        </w:rPr>
        <w:t>接口不是本项目建设内容且正在建设中，待线网</w:t>
      </w:r>
      <w:r>
        <w:rPr>
          <w:rFonts w:hint="eastAsia"/>
          <w:sz w:val="21"/>
          <w:szCs w:val="21"/>
          <w:lang w:eastAsia="zh-CN"/>
        </w:rPr>
        <w:t>管理云平台</w:t>
      </w:r>
      <w:r>
        <w:rPr>
          <w:rFonts w:hint="eastAsia"/>
          <w:sz w:val="21"/>
          <w:szCs w:val="21"/>
        </w:rPr>
        <w:t>建成后，管理</w:t>
      </w:r>
      <w:r>
        <w:rPr>
          <w:rFonts w:hint="eastAsia"/>
          <w:sz w:val="21"/>
          <w:szCs w:val="21"/>
          <w:lang w:eastAsia="zh-CN"/>
        </w:rPr>
        <w:t>云平台</w:t>
      </w:r>
      <w:r>
        <w:rPr>
          <w:rFonts w:hint="eastAsia"/>
          <w:sz w:val="21"/>
          <w:szCs w:val="21"/>
        </w:rPr>
        <w:t>有迁移至线网</w:t>
      </w:r>
      <w:r>
        <w:rPr>
          <w:rFonts w:hint="eastAsia"/>
          <w:sz w:val="21"/>
          <w:szCs w:val="21"/>
          <w:lang w:eastAsia="zh-CN"/>
        </w:rPr>
        <w:t>云平台</w:t>
      </w:r>
      <w:r>
        <w:rPr>
          <w:rFonts w:hint="eastAsia"/>
          <w:sz w:val="21"/>
          <w:szCs w:val="21"/>
        </w:rPr>
        <w:t>的需求，预留与线网</w:t>
      </w:r>
      <w:r>
        <w:rPr>
          <w:rFonts w:hint="eastAsia"/>
          <w:sz w:val="21"/>
          <w:szCs w:val="21"/>
          <w:lang w:eastAsia="zh-CN"/>
        </w:rPr>
        <w:t>云平台</w:t>
      </w:r>
      <w:r>
        <w:rPr>
          <w:rFonts w:hint="eastAsia"/>
          <w:sz w:val="21"/>
          <w:szCs w:val="21"/>
        </w:rPr>
        <w:t xml:space="preserve">的接口，实现后期平滑的迁移。接口采用基于SOA架构的集成方式进行设计，系统须提供多层次的应用开发接口，所有的功能基于软件集成组件的方式进行函数化或者过程化，为进一步的应用开发提供接口基础，系统接口以Web Services作为标准实现方式。 </w:t>
      </w:r>
    </w:p>
    <w:p w14:paraId="74C9ECD5">
      <w:pPr>
        <w:pStyle w:val="1221"/>
        <w:numPr>
          <w:ilvl w:val="0"/>
          <w:numId w:val="0"/>
        </w:numPr>
        <w:ind w:left="679" w:hanging="340"/>
        <w:jc w:val="both"/>
        <w:rPr>
          <w:szCs w:val="21"/>
          <w:lang w:val="en-US"/>
        </w:rPr>
        <w:sectPr>
          <w:headerReference r:id="rId20" w:type="default"/>
          <w:pgSz w:w="16838" w:h="11906" w:orient="landscape"/>
          <w:pgMar w:top="1418" w:right="1418" w:bottom="1418" w:left="1418" w:header="851" w:footer="851" w:gutter="0"/>
          <w:cols w:space="720" w:num="1"/>
          <w:docGrid w:linePitch="326" w:charSpace="0"/>
        </w:sectPr>
      </w:pPr>
    </w:p>
    <w:p w14:paraId="643E6A2F">
      <w:pPr>
        <w:pStyle w:val="3"/>
        <w:numPr>
          <w:ilvl w:val="0"/>
          <w:numId w:val="0"/>
        </w:numPr>
        <w:ind w:left="432"/>
        <w:jc w:val="center"/>
        <w:rPr>
          <w:sz w:val="52"/>
          <w:szCs w:val="52"/>
        </w:rPr>
      </w:pPr>
      <w:bookmarkStart w:id="3681" w:name="_Toc2133"/>
      <w:bookmarkStart w:id="3682" w:name="_Toc14452"/>
      <w:bookmarkStart w:id="3683" w:name="_Toc160699586"/>
      <w:r>
        <w:rPr>
          <w:rFonts w:hint="eastAsia"/>
          <w:sz w:val="52"/>
          <w:szCs w:val="52"/>
        </w:rPr>
        <w:t>第四章附件</w:t>
      </w:r>
      <w:bookmarkEnd w:id="3681"/>
      <w:bookmarkEnd w:id="3682"/>
      <w:bookmarkEnd w:id="3683"/>
    </w:p>
    <w:p w14:paraId="346183EF">
      <w:pPr>
        <w:ind w:left="0" w:firstLine="0"/>
        <w:rPr>
          <w:sz w:val="21"/>
          <w:szCs w:val="21"/>
        </w:rPr>
        <w:sectPr>
          <w:pgSz w:w="11906" w:h="16838"/>
          <w:pgMar w:top="1418" w:right="1418" w:bottom="1418" w:left="1418" w:header="851" w:footer="851" w:gutter="0"/>
          <w:cols w:space="720" w:num="1"/>
          <w:docGrid w:linePitch="326" w:charSpace="0"/>
        </w:sectPr>
      </w:pPr>
    </w:p>
    <w:p w14:paraId="5EBD1D68">
      <w:pPr>
        <w:pStyle w:val="3"/>
        <w:pageBreakBefore/>
        <w:widowControl/>
        <w:numPr>
          <w:ilvl w:val="0"/>
          <w:numId w:val="44"/>
        </w:numPr>
        <w:autoSpaceDE/>
        <w:adjustRightInd w:val="0"/>
        <w:snapToGrid w:val="0"/>
        <w:spacing w:before="0" w:after="0"/>
        <w:rPr>
          <w:rFonts w:ascii="Times New Roman" w:hAnsi="Times New Roman" w:eastAsia="宋体"/>
          <w:b/>
          <w:bCs/>
          <w:sz w:val="21"/>
          <w:szCs w:val="21"/>
        </w:rPr>
      </w:pPr>
      <w:bookmarkStart w:id="3684" w:name="_Toc12076"/>
      <w:bookmarkStart w:id="3685" w:name="_Toc13223"/>
      <w:bookmarkStart w:id="3686" w:name="_Toc160699587"/>
      <w:bookmarkStart w:id="3687" w:name="_Toc376173580"/>
      <w:r>
        <w:rPr>
          <w:rFonts w:hint="eastAsia" w:ascii="Times New Roman" w:hAnsi="Times New Roman" w:eastAsia="宋体"/>
          <w:b/>
          <w:bCs/>
          <w:sz w:val="21"/>
          <w:szCs w:val="21"/>
        </w:rPr>
        <w:t>附件</w:t>
      </w:r>
      <w:bookmarkEnd w:id="3684"/>
      <w:bookmarkEnd w:id="3685"/>
      <w:bookmarkEnd w:id="3686"/>
      <w:bookmarkEnd w:id="3687"/>
    </w:p>
    <w:p w14:paraId="1C6B5CE1">
      <w:pPr>
        <w:pStyle w:val="4"/>
        <w:rPr>
          <w:sz w:val="21"/>
          <w:szCs w:val="21"/>
        </w:rPr>
      </w:pPr>
      <w:bookmarkStart w:id="3688" w:name="_Toc376173581"/>
      <w:bookmarkStart w:id="3689" w:name="_Toc704"/>
      <w:bookmarkStart w:id="3690" w:name="_Toc160699588"/>
      <w:bookmarkStart w:id="3691" w:name="_Toc1116"/>
      <w:r>
        <w:rPr>
          <w:rFonts w:hint="eastAsia"/>
          <w:sz w:val="21"/>
          <w:szCs w:val="21"/>
        </w:rPr>
        <w:t>附图</w:t>
      </w:r>
      <w:bookmarkEnd w:id="3688"/>
      <w:bookmarkEnd w:id="3689"/>
      <w:bookmarkEnd w:id="3690"/>
      <w:bookmarkEnd w:id="3691"/>
    </w:p>
    <w:p w14:paraId="1B36A279">
      <w:pPr>
        <w:widowControl/>
        <w:spacing w:line="240" w:lineRule="auto"/>
        <w:ind w:left="0" w:firstLine="0"/>
        <w:jc w:val="center"/>
        <w:rPr>
          <w:rFonts w:ascii="宋体" w:hAnsi="宋体" w:cs="宋体"/>
          <w:kern w:val="0"/>
          <w:sz w:val="21"/>
          <w:szCs w:val="21"/>
        </w:rPr>
      </w:pPr>
      <w:r>
        <w:drawing>
          <wp:inline distT="0" distB="0" distL="0" distR="0">
            <wp:extent cx="6124575" cy="4994275"/>
            <wp:effectExtent l="0" t="0" r="1905" b="444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27"/>
                    <a:stretch>
                      <a:fillRect/>
                    </a:stretch>
                  </pic:blipFill>
                  <pic:spPr>
                    <a:xfrm>
                      <a:off x="0" y="0"/>
                      <a:ext cx="6124575" cy="4994648"/>
                    </a:xfrm>
                    <a:prstGeom prst="rect">
                      <a:avLst/>
                    </a:prstGeom>
                  </pic:spPr>
                </pic:pic>
              </a:graphicData>
            </a:graphic>
          </wp:inline>
        </w:drawing>
      </w:r>
    </w:p>
    <w:p w14:paraId="7878FC66">
      <w:pPr>
        <w:ind w:left="142" w:firstLine="0"/>
        <w:jc w:val="center"/>
        <w:rPr>
          <w:sz w:val="21"/>
          <w:szCs w:val="21"/>
        </w:rPr>
      </w:pPr>
      <w:r>
        <w:rPr>
          <w:sz w:val="21"/>
          <w:szCs w:val="21"/>
        </w:rPr>
        <w:t>图</w:t>
      </w:r>
      <w:r>
        <w:rPr>
          <w:rFonts w:hint="eastAsia"/>
          <w:sz w:val="21"/>
          <w:szCs w:val="21"/>
        </w:rPr>
        <w:t>1.1</w:t>
      </w:r>
      <w:r>
        <w:rPr>
          <w:sz w:val="21"/>
          <w:szCs w:val="21"/>
        </w:rPr>
        <w:t>-</w:t>
      </w:r>
      <w:r>
        <w:rPr>
          <w:rFonts w:hint="eastAsia"/>
          <w:sz w:val="21"/>
          <w:szCs w:val="21"/>
        </w:rPr>
        <w:t>1接口界面示意图</w:t>
      </w:r>
    </w:p>
    <w:bookmarkEnd w:id="3634"/>
    <w:p w14:paraId="267AFB0F">
      <w:pPr>
        <w:ind w:left="0" w:firstLine="0"/>
        <w:rPr>
          <w:sz w:val="21"/>
          <w:szCs w:val="21"/>
        </w:rPr>
      </w:pPr>
    </w:p>
    <w:sectPr>
      <w:headerReference r:id="rId21" w:type="default"/>
      <w:footerReference r:id="rId22" w:type="default"/>
      <w:pgSz w:w="11906" w:h="16838"/>
      <w:pgMar w:top="1418" w:right="1418" w:bottom="1418" w:left="1418" w:header="851" w:footer="851"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roman"/>
    <w:pitch w:val="default"/>
    <w:sig w:usb0="00000000" w:usb1="00000000" w:usb2="00000009" w:usb3="00000000" w:csb0="000001FF" w:csb1="00000000"/>
  </w:font>
  <w:font w:name="Verdana">
    <w:panose1 w:val="020B0604030504040204"/>
    <w:charset w:val="00"/>
    <w:family w:val="swiss"/>
    <w:pitch w:val="default"/>
    <w:sig w:usb0="A10006FF" w:usb1="4000205B" w:usb2="00000010" w:usb3="00000000" w:csb0="2000019F"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PMingLiU">
    <w:panose1 w:val="02020500000000000000"/>
    <w:charset w:val="88"/>
    <w:family w:val="auto"/>
    <w:pitch w:val="default"/>
    <w:sig w:usb0="A00002FF" w:usb1="28CFFCFA" w:usb2="00000016" w:usb3="00000000" w:csb0="00100001" w:csb1="00000000"/>
  </w:font>
  <w:font w:name="创艺简黑体">
    <w:altName w:val="黑体"/>
    <w:panose1 w:val="00000000000000000000"/>
    <w:charset w:val="86"/>
    <w:family w:val="auto"/>
    <w:pitch w:val="default"/>
    <w:sig w:usb0="00000000" w:usb1="00000000" w:usb2="00000010" w:usb3="00000000" w:csb0="00040000" w:csb1="00000000"/>
  </w:font>
  <w:font w:name="FuturaA Bk BT">
    <w:altName w:val="Times New Roman"/>
    <w:panose1 w:val="00000000000000000000"/>
    <w:charset w:val="00"/>
    <w:family w:val="auto"/>
    <w:pitch w:val="default"/>
    <w:sig w:usb0="00000000" w:usb1="00000000" w:usb2="00000000" w:usb3="00000000" w:csb0="00000001" w:csb1="00000000"/>
  </w:font>
  <w:font w:name="Ascom Frutiger-Light">
    <w:altName w:val="Segoe Print"/>
    <w:panose1 w:val="00000000000000000000"/>
    <w:charset w:val="00"/>
    <w:family w:val="swiss"/>
    <w:pitch w:val="default"/>
    <w:sig w:usb0="00000000" w:usb1="00000000" w:usb2="00000000" w:usb3="00000000" w:csb0="00000001" w:csb1="00000000"/>
  </w:font>
  <w:font w:name="Tms Rmn">
    <w:altName w:val="Segoe Print"/>
    <w:panose1 w:val="02020603040505020304"/>
    <w:charset w:val="00"/>
    <w:family w:val="roman"/>
    <w:pitch w:val="default"/>
    <w:sig w:usb0="00000000" w:usb1="00000000" w:usb2="00000000" w:usb3="00000000" w:csb0="00000001" w:csb1="00000000"/>
  </w:font>
  <w:font w:name="Univers (W1)">
    <w:altName w:val="Arial"/>
    <w:panose1 w:val="00000000000000000000"/>
    <w:charset w:val="00"/>
    <w:family w:val="swiss"/>
    <w:pitch w:val="default"/>
    <w:sig w:usb0="00000000" w:usb1="00000000" w:usb2="00000000" w:usb3="00000000" w:csb0="00000001" w:csb1="00000000"/>
  </w:font>
  <w:font w:name="Helvetica">
    <w:altName w:val="Arial"/>
    <w:panose1 w:val="020B05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MS Gothic">
    <w:panose1 w:val="020B0609070205080204"/>
    <w:charset w:val="80"/>
    <w:family w:val="modern"/>
    <w:pitch w:val="default"/>
    <w:sig w:usb0="E00002FF" w:usb1="6AC7FDFB" w:usb2="00000012" w:usb3="00000000" w:csb0="4002009F" w:csb1="DFD70000"/>
  </w:font>
  <w:font w:name="DFKai-SB">
    <w:panose1 w:val="03000509000000000000"/>
    <w:charset w:val="88"/>
    <w:family w:val="script"/>
    <w:pitch w:val="default"/>
    <w:sig w:usb0="00000003" w:usb1="082E0000" w:usb2="00000016" w:usb3="00000000" w:csb0="00100001" w:csb1="00000000"/>
  </w:font>
  <w:font w:name="Times New Roman Bold">
    <w:altName w:val="Times New Roman"/>
    <w:panose1 w:val="02020803070505020304"/>
    <w:charset w:val="00"/>
    <w:family w:val="roman"/>
    <w:pitch w:val="default"/>
    <w:sig w:usb0="00000000" w:usb1="00000000" w:usb2="00000000"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华文新魏">
    <w:altName w:val="宋体"/>
    <w:panose1 w:val="02010800040101010101"/>
    <w:charset w:val="86"/>
    <w:family w:val="auto"/>
    <w:pitch w:val="default"/>
    <w:sig w:usb0="00000000" w:usb1="00000000" w:usb2="00000000" w:usb3="00000000" w:csb0="00040000" w:csb1="00000000"/>
  </w:font>
  <w:font w:name="Univers">
    <w:altName w:val="Segoe Print"/>
    <w:panose1 w:val="00000000000000000000"/>
    <w:charset w:val="00"/>
    <w:family w:val="swiss"/>
    <w:pitch w:val="default"/>
    <w:sig w:usb0="00000000" w:usb1="00000000" w:usb2="00000000" w:usb3="00000000" w:csb0="0000000F" w:csb1="00000000"/>
  </w:font>
  <w:font w:name="Cambria">
    <w:panose1 w:val="02040503050406030204"/>
    <w:charset w:val="00"/>
    <w:family w:val="roman"/>
    <w:pitch w:val="default"/>
    <w:sig w:usb0="E00002FF" w:usb1="400004FF" w:usb2="00000000" w:usb3="00000000" w:csb0="2000019F" w:csb1="00000000"/>
  </w:font>
  <w:font w:name="Palatino">
    <w:altName w:val="Palatino Linotype"/>
    <w:panose1 w:val="00000000000000000000"/>
    <w:charset w:val="00"/>
    <w:family w:val="roman"/>
    <w:pitch w:val="default"/>
    <w:sig w:usb0="00000000" w:usb1="00000000" w:usb2="00000000" w:usb3="00000000" w:csb0="00000001" w:csb1="00000000"/>
  </w:font>
  <w:font w:name="Dutch801 Rm BT">
    <w:altName w:val="Times New Roman"/>
    <w:panose1 w:val="02020603060505020304"/>
    <w:charset w:val="00"/>
    <w:family w:val="roman"/>
    <w:pitch w:val="default"/>
    <w:sig w:usb0="00000000" w:usb1="00000000" w:usb2="00000000" w:usb3="00000000" w:csb0="00000000" w:csb1="00000000"/>
  </w:font>
  <w:font w:name="幼圆">
    <w:altName w:val="宋体"/>
    <w:panose1 w:val="02010509060101010101"/>
    <w:charset w:val="86"/>
    <w:family w:val="modern"/>
    <w:pitch w:val="default"/>
    <w:sig w:usb0="00000000" w:usb1="00000000" w:usb2="00000000" w:usb3="00000000" w:csb0="00040000" w:csb1="00000000"/>
  </w:font>
  <w:font w:name="Invensys Andale">
    <w:altName w:val="Tahoma"/>
    <w:panose1 w:val="00000000000000000000"/>
    <w:charset w:val="00"/>
    <w:family w:val="swiss"/>
    <w:pitch w:val="default"/>
    <w:sig w:usb0="00000000" w:usb1="00000000" w:usb2="00000000" w:usb3="00000000" w:csb0="00000001" w:csb1="00000000"/>
  </w:font>
  <w:font w:name="ˎ̥">
    <w:altName w:val="Cambria"/>
    <w:panose1 w:val="00000000000000000000"/>
    <w:charset w:val="00"/>
    <w:family w:val="roman"/>
    <w:pitch w:val="default"/>
    <w:sig w:usb0="00000000" w:usb1="00000000" w:usb2="00000000" w:usb3="00000000" w:csb0="00040001" w:csb1="00000000"/>
  </w:font>
  <w:font w:name="方正黑体简体">
    <w:panose1 w:val="02000000000000000000"/>
    <w:charset w:val="86"/>
    <w:family w:val="script"/>
    <w:pitch w:val="default"/>
    <w:sig w:usb0="A00002BF" w:usb1="184F6CFA" w:usb2="00000012" w:usb3="00000000" w:csb0="00040001" w:csb1="00000000"/>
  </w:font>
  <w:font w:name="华文宋体">
    <w:altName w:val="宋体"/>
    <w:panose1 w:val="02010600040101010101"/>
    <w:charset w:val="86"/>
    <w:family w:val="auto"/>
    <w:pitch w:val="default"/>
    <w:sig w:usb0="00000000" w:usb1="00000000" w:usb2="00000000" w:usb3="00000000" w:csb0="0004009F" w:csb1="DFD70000"/>
  </w:font>
  <w:font w:name="MS Mincho">
    <w:panose1 w:val="02020609040205080304"/>
    <w:charset w:val="80"/>
    <w:family w:val="roman"/>
    <w:pitch w:val="default"/>
    <w:sig w:usb0="E00002FF" w:usb1="6AC7FDFB" w:usb2="00000012" w:usb3="00000000" w:csb0="4002009F" w:csb1="DFD7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0220F">
    <w:pPr>
      <w:pStyle w:val="55"/>
      <w:tabs>
        <w:tab w:val="left" w:pos="709"/>
      </w:tabs>
      <w:ind w:left="0" w:firstLine="0"/>
      <w:jc w:val="center"/>
    </w:pPr>
    <w:r>
      <w:fldChar w:fldCharType="begin"/>
    </w:r>
    <w:r>
      <w:instrText xml:space="preserve">PAGE   \* MERGEFORMAT</w:instrText>
    </w:r>
    <w:r>
      <w:fldChar w:fldCharType="separate"/>
    </w:r>
    <w:r>
      <w:rPr>
        <w:lang w:val="zh-CN"/>
      </w:rPr>
      <w:t>28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B3223">
    <w:pPr>
      <w:pStyle w:val="55"/>
      <w:framePr w:wrap="around" w:vAnchor="text" w:hAnchor="margin" w:xAlign="center" w:y="1"/>
      <w:rPr>
        <w:rStyle w:val="94"/>
      </w:rPr>
    </w:pPr>
    <w:r>
      <w:rPr>
        <w:rStyle w:val="94"/>
      </w:rPr>
      <w:fldChar w:fldCharType="begin"/>
    </w:r>
    <w:r>
      <w:rPr>
        <w:rStyle w:val="94"/>
      </w:rPr>
      <w:instrText xml:space="preserve">PAGE  </w:instrText>
    </w:r>
    <w:r>
      <w:rPr>
        <w:rStyle w:val="94"/>
      </w:rPr>
      <w:fldChar w:fldCharType="end"/>
    </w:r>
  </w:p>
  <w:p w14:paraId="74DCFC50">
    <w:pPr>
      <w:pStyle w:val="5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EDBF3">
    <w:pPr>
      <w:pStyle w:val="55"/>
      <w:jc w:val="center"/>
    </w:pPr>
    <w:r>
      <w:fldChar w:fldCharType="begin"/>
    </w:r>
    <w:r>
      <w:instrText xml:space="preserve">PAGE   \* MERGEFORMAT</w:instrText>
    </w:r>
    <w:r>
      <w:fldChar w:fldCharType="separate"/>
    </w:r>
    <w:r>
      <w:rPr>
        <w:lang w:val="zh-CN"/>
      </w:rPr>
      <w:t>43</w:t>
    </w:r>
    <w:r>
      <w:fldChar w:fldCharType="end"/>
    </w:r>
  </w:p>
  <w:p w14:paraId="4E5A57C9">
    <w:pPr>
      <w:pStyle w:val="5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C88AA">
    <w:pPr>
      <w:pStyle w:val="55"/>
      <w:framePr w:wrap="around" w:vAnchor="text" w:hAnchor="margin" w:xAlign="center" w:y="1"/>
      <w:rPr>
        <w:rStyle w:val="94"/>
      </w:rPr>
    </w:pPr>
    <w:r>
      <w:fldChar w:fldCharType="begin"/>
    </w:r>
    <w:r>
      <w:rPr>
        <w:rStyle w:val="94"/>
      </w:rPr>
      <w:instrText xml:space="preserve">PAGE  </w:instrText>
    </w:r>
    <w:r>
      <w:fldChar w:fldCharType="end"/>
    </w:r>
  </w:p>
  <w:p w14:paraId="5D698B74">
    <w:pP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FAB84"/>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A1D53">
    <w:pPr>
      <w:pStyle w:val="55"/>
      <w:ind w:left="0" w:firstLine="0"/>
      <w:jc w:val="center"/>
    </w:pPr>
    <w:r>
      <w:fldChar w:fldCharType="begin"/>
    </w:r>
    <w:r>
      <w:instrText xml:space="preserve">PAGE   \* MERGEFORMAT</w:instrText>
    </w:r>
    <w:r>
      <w:fldChar w:fldCharType="separate"/>
    </w:r>
    <w:r>
      <w:rPr>
        <w:lang w:val="zh-CN"/>
      </w:rPr>
      <w:t>65</w:t>
    </w:r>
    <w:r>
      <w:fldChar w:fldCharType="end"/>
    </w:r>
  </w:p>
  <w:p w14:paraId="3ED061D4">
    <w:pPr>
      <w:pStyle w:val="5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47CB2">
    <w:pPr>
      <w:pStyle w:val="55"/>
      <w:framePr w:wrap="around" w:vAnchor="text" w:hAnchor="margin" w:xAlign="center" w:y="1"/>
      <w:rPr>
        <w:rStyle w:val="94"/>
      </w:rPr>
    </w:pPr>
    <w:r>
      <w:rPr>
        <w:rStyle w:val="94"/>
      </w:rPr>
      <w:fldChar w:fldCharType="begin"/>
    </w:r>
    <w:r>
      <w:rPr>
        <w:rStyle w:val="94"/>
      </w:rPr>
      <w:instrText xml:space="preserve">PAGE  </w:instrText>
    </w:r>
    <w:r>
      <w:rPr>
        <w:rStyle w:val="94"/>
      </w:rPr>
      <w:fldChar w:fldCharType="end"/>
    </w:r>
  </w:p>
  <w:p w14:paraId="03460FAE">
    <w:pPr>
      <w:pStyle w:val="55"/>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014A8">
    <w:pPr>
      <w:pStyle w:val="55"/>
      <w:framePr w:wrap="around" w:vAnchor="text" w:hAnchor="margin" w:xAlign="center" w:y="1"/>
      <w:rPr>
        <w:rStyle w:val="94"/>
      </w:rPr>
    </w:pPr>
    <w:r>
      <w:fldChar w:fldCharType="begin"/>
    </w:r>
    <w:r>
      <w:rPr>
        <w:rStyle w:val="94"/>
      </w:rPr>
      <w:instrText xml:space="preserve">PAGE  </w:instrText>
    </w:r>
    <w:r>
      <w:fldChar w:fldCharType="end"/>
    </w:r>
  </w:p>
  <w:p w14:paraId="13D0C992">
    <w:pPr>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9EC13"/>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C0729">
    <w:pPr>
      <w:pStyle w:val="55"/>
      <w:jc w:val="center"/>
    </w:pPr>
    <w:r>
      <w:fldChar w:fldCharType="begin"/>
    </w:r>
    <w:r>
      <w:instrText xml:space="preserve"> PAGE   \* MERGEFORMAT </w:instrText>
    </w:r>
    <w:r>
      <w:fldChar w:fldCharType="separate"/>
    </w:r>
    <w:r>
      <w:rPr>
        <w:lang w:val="zh-CN"/>
      </w:rPr>
      <w:t>66</w:t>
    </w:r>
    <w:r>
      <w:fldChar w:fldCharType="end"/>
    </w:r>
  </w:p>
  <w:p w14:paraId="6922E93C">
    <w:pPr>
      <w:pStyle w:val="5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ABB80">
    <w:pPr>
      <w:pStyle w:val="57"/>
    </w:pPr>
    <w:r>
      <w:rPr>
        <w:rFonts w:hint="eastAsia" w:eastAsia="楷体"/>
        <w:sz w:val="18"/>
        <w:szCs w:val="16"/>
        <w:lang w:eastAsia="zh-CN"/>
      </w:rPr>
      <w:t>南宁轨道数智科技有限公司管理云平台建设项目</w:t>
    </w:r>
    <w:r>
      <w:rPr>
        <w:rFonts w:hint="eastAsia" w:eastAsia="楷体"/>
        <w:sz w:val="18"/>
        <w:szCs w:val="16"/>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09AD0">
    <w:pPr>
      <w:ind w:left="709"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3C52A">
    <w:pPr>
      <w:pStyle w:val="57"/>
      <w:pBdr>
        <w:bottom w:val="single" w:color="auto" w:sz="4" w:space="1"/>
      </w:pBdr>
    </w:pPr>
    <w:r>
      <w:rPr>
        <w:rFonts w:hint="eastAsia" w:ascii="华文中宋" w:hAnsi="华文中宋" w:eastAsia="幼圆"/>
      </w:rPr>
      <w:t>第六篇  图纸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ACD28"/>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C66CBF"/>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8DA93">
    <w:pPr>
      <w:pStyle w:val="57"/>
      <w:pBdr>
        <w:bottom w:val="single" w:color="auto" w:sz="4" w:space="1"/>
      </w:pBdr>
    </w:pPr>
    <w:r>
      <w:rPr>
        <w:rFonts w:hint="eastAsia" w:ascii="华文中宋" w:hAnsi="华文中宋" w:eastAsia="幼圆"/>
      </w:rPr>
      <w:t>第六篇  图纸</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C1D77">
    <w:pPr>
      <w:pStyle w:val="57"/>
      <w:ind w:left="0" w:firstLine="0"/>
      <w:rPr>
        <w:rFonts w:eastAsia="楷体"/>
        <w:sz w:val="18"/>
        <w:szCs w:val="16"/>
      </w:rPr>
    </w:pPr>
  </w:p>
  <w:p w14:paraId="425A0CCF">
    <w:pPr>
      <w:pStyle w:val="57"/>
      <w:ind w:left="0" w:firstLine="0"/>
      <w:rPr>
        <w:rFonts w:eastAsia="楷体"/>
        <w:sz w:val="18"/>
        <w:szCs w:val="16"/>
      </w:rPr>
    </w:pPr>
    <w:r>
      <w:rPr>
        <w:rFonts w:hint="eastAsia" w:eastAsia="楷体"/>
        <w:sz w:val="18"/>
        <w:szCs w:val="16"/>
        <w:lang w:eastAsia="zh-CN"/>
      </w:rPr>
      <w:t>管理云平台建设项目</w:t>
    </w:r>
    <w:r>
      <w:rPr>
        <w:rFonts w:hint="eastAsia" w:eastAsia="楷体"/>
        <w:sz w:val="18"/>
        <w:szCs w:val="16"/>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F1E18">
    <w:pPr>
      <w:pStyle w:val="57"/>
      <w:ind w:left="0" w:firstLine="0"/>
      <w:jc w:val="left"/>
    </w:pPr>
  </w:p>
  <w:p w14:paraId="47EEBB98">
    <w:pPr>
      <w:pStyle w:val="57"/>
      <w:ind w:left="0" w:firstLine="0"/>
      <w:rPr>
        <w:rFonts w:eastAsia="楷体"/>
        <w:sz w:val="18"/>
        <w:szCs w:val="16"/>
      </w:rPr>
    </w:pPr>
    <w:r>
      <w:rPr>
        <w:rFonts w:hint="eastAsia" w:eastAsia="楷体"/>
        <w:sz w:val="18"/>
        <w:szCs w:val="16"/>
        <w:lang w:eastAsia="zh-CN"/>
      </w:rPr>
      <w:t>虚拟化平台建设项目</w:t>
    </w:r>
    <w:r>
      <w:rPr>
        <w:rFonts w:hint="eastAsia" w:eastAsia="楷体"/>
        <w:sz w:val="18"/>
        <w:szCs w:val="16"/>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4"/>
    <w:multiLevelType w:val="multilevel"/>
    <w:tmpl w:val="00000014"/>
    <w:lvl w:ilvl="0" w:tentative="0">
      <w:start w:val="1"/>
      <w:numFmt w:val="chineseCountingThousand"/>
      <w:lvlText w:val="%1、"/>
      <w:lvlJc w:val="left"/>
      <w:pPr>
        <w:tabs>
          <w:tab w:val="left" w:pos="840"/>
        </w:tabs>
        <w:ind w:left="840" w:hanging="420"/>
      </w:pPr>
      <w:rPr>
        <w:rFonts w:hint="eastAsia"/>
      </w:rPr>
    </w:lvl>
    <w:lvl w:ilvl="1" w:tentative="0">
      <w:start w:val="1"/>
      <w:numFmt w:val="upperLetter"/>
      <w:lvlText w:val="%2."/>
      <w:lvlJc w:val="left"/>
      <w:pPr>
        <w:tabs>
          <w:tab w:val="left" w:pos="1260"/>
        </w:tabs>
        <w:ind w:left="1260" w:hanging="420"/>
      </w:pPr>
      <w:rPr>
        <w:rFonts w:hint="eastAsia"/>
      </w:rPr>
    </w:lvl>
    <w:lvl w:ilvl="2" w:tentative="0">
      <w:start w:val="1"/>
      <w:numFmt w:val="upperLetter"/>
      <w:lvlText w:val="%3."/>
      <w:lvlJc w:val="left"/>
      <w:pPr>
        <w:tabs>
          <w:tab w:val="left" w:pos="1680"/>
        </w:tabs>
        <w:ind w:left="1680" w:hanging="420"/>
      </w:pPr>
      <w:rPr>
        <w:rFonts w:hint="eastAsia"/>
      </w:rPr>
    </w:lvl>
    <w:lvl w:ilvl="3" w:tentative="0">
      <w:start w:val="1"/>
      <w:numFmt w:val="decimal"/>
      <w:pStyle w:val="1236"/>
      <w:lvlText w:val="%4."/>
      <w:lvlJc w:val="left"/>
      <w:pPr>
        <w:tabs>
          <w:tab w:val="left" w:pos="2100"/>
        </w:tabs>
        <w:ind w:left="2100" w:hanging="420"/>
      </w:pPr>
      <w:rPr>
        <w:rFonts w:hint="eastAsia"/>
      </w:rPr>
    </w:lvl>
    <w:lvl w:ilvl="4" w:tentative="0">
      <w:start w:val="1"/>
      <w:numFmt w:val="lowerLetter"/>
      <w:lvlText w:val="%5)"/>
      <w:lvlJc w:val="left"/>
      <w:pPr>
        <w:tabs>
          <w:tab w:val="left" w:pos="2520"/>
        </w:tabs>
        <w:ind w:left="2520" w:hanging="420"/>
      </w:pPr>
      <w:rPr>
        <w:rFonts w:hint="eastAsia"/>
      </w:rPr>
    </w:lvl>
    <w:lvl w:ilvl="5" w:tentative="0">
      <w:start w:val="1"/>
      <w:numFmt w:val="lowerRoman"/>
      <w:lvlText w:val="%6."/>
      <w:lvlJc w:val="right"/>
      <w:pPr>
        <w:tabs>
          <w:tab w:val="left" w:pos="2940"/>
        </w:tabs>
        <w:ind w:left="2940" w:hanging="420"/>
      </w:pPr>
      <w:rPr>
        <w:rFonts w:hint="eastAsia"/>
      </w:rPr>
    </w:lvl>
    <w:lvl w:ilvl="6" w:tentative="0">
      <w:start w:val="1"/>
      <w:numFmt w:val="decimal"/>
      <w:lvlText w:val="%7."/>
      <w:lvlJc w:val="left"/>
      <w:pPr>
        <w:tabs>
          <w:tab w:val="left" w:pos="3360"/>
        </w:tabs>
        <w:ind w:left="3360" w:hanging="420"/>
      </w:pPr>
      <w:rPr>
        <w:rFonts w:hint="eastAsia"/>
      </w:rPr>
    </w:lvl>
    <w:lvl w:ilvl="7" w:tentative="0">
      <w:start w:val="1"/>
      <w:numFmt w:val="lowerLetter"/>
      <w:lvlText w:val="%8)"/>
      <w:lvlJc w:val="left"/>
      <w:pPr>
        <w:tabs>
          <w:tab w:val="left" w:pos="3780"/>
        </w:tabs>
        <w:ind w:left="3780" w:hanging="420"/>
      </w:pPr>
      <w:rPr>
        <w:rFonts w:hint="eastAsia"/>
      </w:rPr>
    </w:lvl>
    <w:lvl w:ilvl="8" w:tentative="0">
      <w:start w:val="1"/>
      <w:numFmt w:val="lowerRoman"/>
      <w:lvlText w:val="%9."/>
      <w:lvlJc w:val="right"/>
      <w:pPr>
        <w:tabs>
          <w:tab w:val="left" w:pos="4200"/>
        </w:tabs>
        <w:ind w:left="4200" w:hanging="420"/>
      </w:pPr>
      <w:rPr>
        <w:rFonts w:hint="eastAsia"/>
      </w:rPr>
    </w:lvl>
  </w:abstractNum>
  <w:abstractNum w:abstractNumId="1">
    <w:nsid w:val="0000018A"/>
    <w:multiLevelType w:val="multilevel"/>
    <w:tmpl w:val="0000018A"/>
    <w:lvl w:ilvl="0" w:tentative="0">
      <w:start w:val="1"/>
      <w:numFmt w:val="decimal"/>
      <w:suff w:val="space"/>
      <w:lvlText w:val="%1"/>
      <w:lvlJc w:val="left"/>
      <w:pPr>
        <w:ind w:left="340" w:hanging="340"/>
      </w:pPr>
      <w:rPr>
        <w:rFonts w:hint="eastAsia"/>
      </w:rPr>
    </w:lvl>
    <w:lvl w:ilvl="1" w:tentative="0">
      <w:start w:val="1"/>
      <w:numFmt w:val="decimal"/>
      <w:pStyle w:val="4"/>
      <w:suff w:val="space"/>
      <w:lvlText w:val="%1.%2"/>
      <w:lvlJc w:val="left"/>
      <w:pPr>
        <w:ind w:left="453" w:hanging="340"/>
      </w:pPr>
      <w:rPr>
        <w:b w:val="0"/>
        <w:bCs w:val="0"/>
        <w:i w:val="0"/>
        <w:iCs w:val="0"/>
        <w:caps w:val="0"/>
        <w:smallCaps w:val="0"/>
        <w:strike w:val="0"/>
        <w:dstrike w:val="0"/>
        <w:outline w:val="0"/>
        <w:shadow w:val="0"/>
        <w:emboss w:val="0"/>
        <w:imprint w:val="0"/>
        <w:vanish w:val="0"/>
        <w:spacing w:val="0"/>
        <w:position w:val="0"/>
        <w:u w:val="none"/>
        <w:vertAlign w:val="baseline"/>
        <w:lang w:val="en-US"/>
      </w:rPr>
    </w:lvl>
    <w:lvl w:ilvl="2" w:tentative="0">
      <w:start w:val="1"/>
      <w:numFmt w:val="decimal"/>
      <w:pStyle w:val="5"/>
      <w:suff w:val="space"/>
      <w:lvlText w:val="%1.%2.%3"/>
      <w:lvlJc w:val="left"/>
      <w:pPr>
        <w:ind w:left="566" w:hanging="340"/>
      </w:pPr>
      <w:rPr>
        <w:rFonts w:hint="eastAsia"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lang w:val="zh-CN"/>
      </w:rPr>
    </w:lvl>
    <w:lvl w:ilvl="3" w:tentative="0">
      <w:start w:val="1"/>
      <w:numFmt w:val="decimal"/>
      <w:pStyle w:val="1221"/>
      <w:suff w:val="space"/>
      <w:lvlText w:val="%1.%2.%3.%4"/>
      <w:lvlJc w:val="left"/>
      <w:pPr>
        <w:ind w:left="679" w:hanging="340"/>
      </w:pPr>
      <w:rPr>
        <w:rFonts w:hint="eastAsia"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lang w:val="en-US"/>
      </w:rPr>
    </w:lvl>
    <w:lvl w:ilvl="4" w:tentative="0">
      <w:start w:val="1"/>
      <w:numFmt w:val="decimal"/>
      <w:lvlText w:val="%1.%2.%3.%4.%5"/>
      <w:lvlJc w:val="left"/>
      <w:pPr>
        <w:tabs>
          <w:tab w:val="left" w:pos="1008"/>
        </w:tabs>
        <w:ind w:left="792" w:hanging="340"/>
      </w:pPr>
      <w:rPr>
        <w:rFonts w:hint="eastAsia"/>
      </w:rPr>
    </w:lvl>
    <w:lvl w:ilvl="5" w:tentative="0">
      <w:start w:val="1"/>
      <w:numFmt w:val="decimal"/>
      <w:lvlText w:val="%1.%2.%3.%4.%5.%6"/>
      <w:lvlJc w:val="left"/>
      <w:pPr>
        <w:tabs>
          <w:tab w:val="left" w:pos="1152"/>
        </w:tabs>
        <w:ind w:left="905" w:hanging="340"/>
      </w:pPr>
      <w:rPr>
        <w:rFonts w:hint="eastAsia"/>
      </w:rPr>
    </w:lvl>
    <w:lvl w:ilvl="6" w:tentative="0">
      <w:start w:val="1"/>
      <w:numFmt w:val="decimal"/>
      <w:lvlText w:val="%1.%2.%3.%4.%5.%6.%7"/>
      <w:lvlJc w:val="left"/>
      <w:pPr>
        <w:tabs>
          <w:tab w:val="left" w:pos="1296"/>
        </w:tabs>
        <w:ind w:left="1018" w:hanging="340"/>
      </w:pPr>
      <w:rPr>
        <w:rFonts w:hint="eastAsia"/>
      </w:rPr>
    </w:lvl>
    <w:lvl w:ilvl="7" w:tentative="0">
      <w:start w:val="1"/>
      <w:numFmt w:val="decimal"/>
      <w:lvlText w:val="%1.%2.%3.%4.%5.%6.%7.%8"/>
      <w:lvlJc w:val="left"/>
      <w:pPr>
        <w:tabs>
          <w:tab w:val="left" w:pos="1440"/>
        </w:tabs>
        <w:ind w:left="1131" w:hanging="340"/>
      </w:pPr>
      <w:rPr>
        <w:rFonts w:hint="eastAsia"/>
      </w:rPr>
    </w:lvl>
    <w:lvl w:ilvl="8" w:tentative="0">
      <w:start w:val="1"/>
      <w:numFmt w:val="decimal"/>
      <w:lvlText w:val="%1.%2.%3.%4.%5.%6.%7.%8.%9"/>
      <w:lvlJc w:val="left"/>
      <w:pPr>
        <w:tabs>
          <w:tab w:val="left" w:pos="1584"/>
        </w:tabs>
        <w:ind w:left="1244" w:hanging="340"/>
      </w:pPr>
      <w:rPr>
        <w:rFonts w:hint="eastAsia"/>
      </w:rPr>
    </w:lvl>
  </w:abstractNum>
  <w:abstractNum w:abstractNumId="2">
    <w:nsid w:val="02301FC3"/>
    <w:multiLevelType w:val="singleLevel"/>
    <w:tmpl w:val="02301FC3"/>
    <w:lvl w:ilvl="0" w:tentative="0">
      <w:start w:val="1"/>
      <w:numFmt w:val="bullet"/>
      <w:pStyle w:val="1167"/>
      <w:lvlText w:val=""/>
      <w:lvlJc w:val="left"/>
      <w:pPr>
        <w:tabs>
          <w:tab w:val="left" w:pos="720"/>
        </w:tabs>
        <w:ind w:left="720" w:hanging="360"/>
      </w:pPr>
      <w:rPr>
        <w:rFonts w:hint="default" w:ascii="Symbol" w:hAnsi="Symbol"/>
      </w:rPr>
    </w:lvl>
  </w:abstractNum>
  <w:abstractNum w:abstractNumId="3">
    <w:nsid w:val="02634EDF"/>
    <w:multiLevelType w:val="multilevel"/>
    <w:tmpl w:val="02634EDF"/>
    <w:lvl w:ilvl="0" w:tentative="0">
      <w:start w:val="1"/>
      <w:numFmt w:val="bullet"/>
      <w:lvlText w:val=""/>
      <w:lvlJc w:val="left"/>
      <w:pPr>
        <w:tabs>
          <w:tab w:val="left" w:pos="1497"/>
        </w:tabs>
        <w:ind w:left="1497" w:hanging="420"/>
      </w:pPr>
      <w:rPr>
        <w:rFonts w:hint="default" w:ascii="Wingdings" w:hAnsi="Wingdings"/>
      </w:rPr>
    </w:lvl>
    <w:lvl w:ilvl="1" w:tentative="0">
      <w:start w:val="1"/>
      <w:numFmt w:val="bullet"/>
      <w:lvlText w:val=""/>
      <w:lvlJc w:val="left"/>
      <w:pPr>
        <w:tabs>
          <w:tab w:val="left" w:pos="1917"/>
        </w:tabs>
        <w:ind w:left="1917" w:hanging="420"/>
      </w:pPr>
      <w:rPr>
        <w:rFonts w:hint="default" w:ascii="Wingdings" w:hAnsi="Wingdings"/>
      </w:rPr>
    </w:lvl>
    <w:lvl w:ilvl="2" w:tentative="0">
      <w:start w:val="1"/>
      <w:numFmt w:val="bullet"/>
      <w:lvlText w:val=""/>
      <w:lvlJc w:val="left"/>
      <w:pPr>
        <w:tabs>
          <w:tab w:val="left" w:pos="2337"/>
        </w:tabs>
        <w:ind w:left="2337" w:hanging="420"/>
      </w:pPr>
      <w:rPr>
        <w:rFonts w:hint="default" w:ascii="Wingdings" w:hAnsi="Wingdings"/>
      </w:rPr>
    </w:lvl>
    <w:lvl w:ilvl="3" w:tentative="0">
      <w:start w:val="1"/>
      <w:numFmt w:val="bullet"/>
      <w:lvlText w:val=""/>
      <w:lvlJc w:val="left"/>
      <w:pPr>
        <w:tabs>
          <w:tab w:val="left" w:pos="2757"/>
        </w:tabs>
        <w:ind w:left="2757" w:hanging="420"/>
      </w:pPr>
      <w:rPr>
        <w:rFonts w:hint="default" w:ascii="Wingdings" w:hAnsi="Wingdings"/>
      </w:rPr>
    </w:lvl>
    <w:lvl w:ilvl="4" w:tentative="0">
      <w:start w:val="1"/>
      <w:numFmt w:val="bullet"/>
      <w:lvlText w:val=""/>
      <w:lvlJc w:val="left"/>
      <w:pPr>
        <w:tabs>
          <w:tab w:val="left" w:pos="3177"/>
        </w:tabs>
        <w:ind w:left="3177" w:hanging="420"/>
      </w:pPr>
      <w:rPr>
        <w:rFonts w:hint="default" w:ascii="Wingdings" w:hAnsi="Wingdings"/>
      </w:rPr>
    </w:lvl>
    <w:lvl w:ilvl="5" w:tentative="0">
      <w:start w:val="1"/>
      <w:numFmt w:val="bullet"/>
      <w:lvlText w:val=""/>
      <w:lvlJc w:val="left"/>
      <w:pPr>
        <w:tabs>
          <w:tab w:val="left" w:pos="3597"/>
        </w:tabs>
        <w:ind w:left="3597" w:hanging="420"/>
      </w:pPr>
      <w:rPr>
        <w:rFonts w:hint="default" w:ascii="Wingdings" w:hAnsi="Wingdings"/>
      </w:rPr>
    </w:lvl>
    <w:lvl w:ilvl="6" w:tentative="0">
      <w:start w:val="1"/>
      <w:numFmt w:val="bullet"/>
      <w:lvlText w:val=""/>
      <w:lvlJc w:val="left"/>
      <w:pPr>
        <w:tabs>
          <w:tab w:val="left" w:pos="4017"/>
        </w:tabs>
        <w:ind w:left="4017" w:hanging="420"/>
      </w:pPr>
      <w:rPr>
        <w:rFonts w:hint="default" w:ascii="Wingdings" w:hAnsi="Wingdings"/>
      </w:rPr>
    </w:lvl>
    <w:lvl w:ilvl="7" w:tentative="0">
      <w:start w:val="1"/>
      <w:numFmt w:val="bullet"/>
      <w:lvlText w:val=""/>
      <w:lvlJc w:val="left"/>
      <w:pPr>
        <w:tabs>
          <w:tab w:val="left" w:pos="4437"/>
        </w:tabs>
        <w:ind w:left="4437" w:hanging="420"/>
      </w:pPr>
      <w:rPr>
        <w:rFonts w:hint="default" w:ascii="Wingdings" w:hAnsi="Wingdings"/>
      </w:rPr>
    </w:lvl>
    <w:lvl w:ilvl="8" w:tentative="0">
      <w:start w:val="1"/>
      <w:numFmt w:val="bullet"/>
      <w:lvlText w:val=""/>
      <w:lvlJc w:val="left"/>
      <w:pPr>
        <w:tabs>
          <w:tab w:val="left" w:pos="4857"/>
        </w:tabs>
        <w:ind w:left="4857" w:hanging="420"/>
      </w:pPr>
      <w:rPr>
        <w:rFonts w:hint="default" w:ascii="Wingdings" w:hAnsi="Wingdings"/>
      </w:rPr>
    </w:lvl>
  </w:abstractNum>
  <w:abstractNum w:abstractNumId="4">
    <w:nsid w:val="04500ECD"/>
    <w:multiLevelType w:val="multilevel"/>
    <w:tmpl w:val="04500ECD"/>
    <w:lvl w:ilvl="0" w:tentative="0">
      <w:start w:val="1"/>
      <w:numFmt w:val="bullet"/>
      <w:lvlText w:val=""/>
      <w:lvlJc w:val="left"/>
      <w:pPr>
        <w:tabs>
          <w:tab w:val="left" w:pos="1497"/>
        </w:tabs>
        <w:ind w:left="1497" w:hanging="420"/>
      </w:pPr>
      <w:rPr>
        <w:rFonts w:hint="default" w:ascii="Wingdings" w:hAnsi="Wingdings"/>
      </w:rPr>
    </w:lvl>
    <w:lvl w:ilvl="1" w:tentative="0">
      <w:start w:val="1"/>
      <w:numFmt w:val="bullet"/>
      <w:lvlText w:val=""/>
      <w:lvlJc w:val="left"/>
      <w:pPr>
        <w:tabs>
          <w:tab w:val="left" w:pos="1917"/>
        </w:tabs>
        <w:ind w:left="1917" w:hanging="420"/>
      </w:pPr>
      <w:rPr>
        <w:rFonts w:hint="default" w:ascii="Wingdings" w:hAnsi="Wingdings"/>
      </w:rPr>
    </w:lvl>
    <w:lvl w:ilvl="2" w:tentative="0">
      <w:start w:val="1"/>
      <w:numFmt w:val="bullet"/>
      <w:lvlText w:val=""/>
      <w:lvlJc w:val="left"/>
      <w:pPr>
        <w:tabs>
          <w:tab w:val="left" w:pos="2337"/>
        </w:tabs>
        <w:ind w:left="2337" w:hanging="420"/>
      </w:pPr>
      <w:rPr>
        <w:rFonts w:hint="default" w:ascii="Wingdings" w:hAnsi="Wingdings"/>
      </w:rPr>
    </w:lvl>
    <w:lvl w:ilvl="3" w:tentative="0">
      <w:start w:val="1"/>
      <w:numFmt w:val="bullet"/>
      <w:lvlText w:val=""/>
      <w:lvlJc w:val="left"/>
      <w:pPr>
        <w:tabs>
          <w:tab w:val="left" w:pos="2757"/>
        </w:tabs>
        <w:ind w:left="2757" w:hanging="420"/>
      </w:pPr>
      <w:rPr>
        <w:rFonts w:hint="default" w:ascii="Wingdings" w:hAnsi="Wingdings"/>
      </w:rPr>
    </w:lvl>
    <w:lvl w:ilvl="4" w:tentative="0">
      <w:start w:val="1"/>
      <w:numFmt w:val="bullet"/>
      <w:lvlText w:val=""/>
      <w:lvlJc w:val="left"/>
      <w:pPr>
        <w:tabs>
          <w:tab w:val="left" w:pos="3177"/>
        </w:tabs>
        <w:ind w:left="3177" w:hanging="420"/>
      </w:pPr>
      <w:rPr>
        <w:rFonts w:hint="default" w:ascii="Wingdings" w:hAnsi="Wingdings"/>
      </w:rPr>
    </w:lvl>
    <w:lvl w:ilvl="5" w:tentative="0">
      <w:start w:val="1"/>
      <w:numFmt w:val="bullet"/>
      <w:lvlText w:val=""/>
      <w:lvlJc w:val="left"/>
      <w:pPr>
        <w:tabs>
          <w:tab w:val="left" w:pos="3597"/>
        </w:tabs>
        <w:ind w:left="3597" w:hanging="420"/>
      </w:pPr>
      <w:rPr>
        <w:rFonts w:hint="default" w:ascii="Wingdings" w:hAnsi="Wingdings"/>
      </w:rPr>
    </w:lvl>
    <w:lvl w:ilvl="6" w:tentative="0">
      <w:start w:val="1"/>
      <w:numFmt w:val="bullet"/>
      <w:lvlText w:val=""/>
      <w:lvlJc w:val="left"/>
      <w:pPr>
        <w:tabs>
          <w:tab w:val="left" w:pos="4017"/>
        </w:tabs>
        <w:ind w:left="4017" w:hanging="420"/>
      </w:pPr>
      <w:rPr>
        <w:rFonts w:hint="default" w:ascii="Wingdings" w:hAnsi="Wingdings"/>
      </w:rPr>
    </w:lvl>
    <w:lvl w:ilvl="7" w:tentative="0">
      <w:start w:val="1"/>
      <w:numFmt w:val="bullet"/>
      <w:lvlText w:val=""/>
      <w:lvlJc w:val="left"/>
      <w:pPr>
        <w:tabs>
          <w:tab w:val="left" w:pos="4437"/>
        </w:tabs>
        <w:ind w:left="4437" w:hanging="420"/>
      </w:pPr>
      <w:rPr>
        <w:rFonts w:hint="default" w:ascii="Wingdings" w:hAnsi="Wingdings"/>
      </w:rPr>
    </w:lvl>
    <w:lvl w:ilvl="8" w:tentative="0">
      <w:start w:val="1"/>
      <w:numFmt w:val="bullet"/>
      <w:lvlText w:val=""/>
      <w:lvlJc w:val="left"/>
      <w:pPr>
        <w:tabs>
          <w:tab w:val="left" w:pos="4857"/>
        </w:tabs>
        <w:ind w:left="4857" w:hanging="420"/>
      </w:pPr>
      <w:rPr>
        <w:rFonts w:hint="default" w:ascii="Wingdings" w:hAnsi="Wingdings"/>
      </w:rPr>
    </w:lvl>
  </w:abstractNum>
  <w:abstractNum w:abstractNumId="5">
    <w:nsid w:val="06603F64"/>
    <w:multiLevelType w:val="multilevel"/>
    <w:tmpl w:val="06603F64"/>
    <w:lvl w:ilvl="0" w:tentative="0">
      <w:start w:val="1"/>
      <w:numFmt w:val="decimal"/>
      <w:pStyle w:val="3"/>
      <w:isLgl/>
      <w:lvlText w:val="%1"/>
      <w:lvlJc w:val="left"/>
      <w:pPr>
        <w:tabs>
          <w:tab w:val="left" w:pos="432"/>
        </w:tabs>
        <w:ind w:left="432" w:hanging="432"/>
      </w:pPr>
      <w:rPr>
        <w:rFonts w:hint="default" w:ascii="Times New Roman" w:hAnsi="Times New Roman" w:eastAsia="仿宋_GB2312"/>
        <w:b/>
        <w:i w:val="0"/>
        <w:sz w:val="28"/>
        <w:szCs w:val="28"/>
      </w:rPr>
    </w:lvl>
    <w:lvl w:ilvl="1" w:tentative="0">
      <w:start w:val="1"/>
      <w:numFmt w:val="decimal"/>
      <w:lvlText w:val="3.%2"/>
      <w:lvlJc w:val="left"/>
      <w:pPr>
        <w:tabs>
          <w:tab w:val="left" w:pos="772"/>
        </w:tabs>
        <w:ind w:left="772" w:hanging="576"/>
      </w:pPr>
      <w:rPr>
        <w:rFonts w:hint="default" w:ascii="Times New Roman" w:hAnsi="Times New Roman" w:eastAsia="仿宋_GB2312"/>
        <w:b/>
        <w:i w:val="0"/>
        <w:sz w:val="24"/>
        <w:szCs w:val="24"/>
      </w:rPr>
    </w:lvl>
    <w:lvl w:ilvl="2" w:tentative="0">
      <w:start w:val="1"/>
      <w:numFmt w:val="decimal"/>
      <w:lvlText w:val="3.%2.%3"/>
      <w:lvlJc w:val="left"/>
      <w:pPr>
        <w:tabs>
          <w:tab w:val="left" w:pos="1006"/>
        </w:tabs>
        <w:ind w:left="1006" w:hanging="720"/>
      </w:pPr>
      <w:rPr>
        <w:rFonts w:hint="default" w:ascii="Times New Roman" w:hAnsi="Times New Roman" w:eastAsia="仿宋_GB2312"/>
        <w:b/>
        <w:i w:val="0"/>
        <w:sz w:val="21"/>
      </w:rPr>
    </w:lvl>
    <w:lvl w:ilvl="3" w:tentative="0">
      <w:start w:val="1"/>
      <w:numFmt w:val="decimal"/>
      <w:lvlText w:val="%1.%2.%3.%4"/>
      <w:lvlJc w:val="left"/>
      <w:pPr>
        <w:tabs>
          <w:tab w:val="left" w:pos="1553"/>
        </w:tabs>
        <w:ind w:left="1553" w:hanging="864"/>
      </w:pPr>
      <w:rPr>
        <w:rFonts w:hint="default"/>
        <w:b/>
        <w:i/>
        <w:sz w:val="21"/>
      </w:rPr>
    </w:lvl>
    <w:lvl w:ilvl="4" w:tentative="0">
      <w:start w:val="1"/>
      <w:numFmt w:val="decimal"/>
      <w:pStyle w:val="7"/>
      <w:lvlText w:val="%1.%2.%3.%4.%5"/>
      <w:lvlJc w:val="left"/>
      <w:pPr>
        <w:tabs>
          <w:tab w:val="left" w:pos="1008"/>
        </w:tabs>
        <w:ind w:left="1008" w:hanging="1008"/>
      </w:pPr>
      <w:rPr>
        <w:rFonts w:hint="default" w:ascii="Times New Roman" w:hAnsi="Times New Roman" w:eastAsia="仿宋_GB2312"/>
        <w:b/>
        <w:i/>
        <w:sz w:val="21"/>
      </w:rPr>
    </w:lvl>
    <w:lvl w:ilvl="5" w:tentative="0">
      <w:start w:val="1"/>
      <w:numFmt w:val="decimal"/>
      <w:pStyle w:val="8"/>
      <w:lvlText w:val="%1.%2.%3.%4.%5.%6"/>
      <w:lvlJc w:val="left"/>
      <w:pPr>
        <w:tabs>
          <w:tab w:val="left" w:pos="1152"/>
        </w:tabs>
        <w:ind w:left="1152" w:hanging="1152"/>
      </w:pPr>
      <w:rPr>
        <w:rFonts w:hint="default" w:ascii="Times New Roman" w:hAnsi="Times New Roman" w:eastAsia="仿宋_GB2312"/>
        <w:b/>
        <w:i/>
        <w:sz w:val="24"/>
      </w:rPr>
    </w:lvl>
    <w:lvl w:ilvl="6" w:tentative="0">
      <w:start w:val="1"/>
      <w:numFmt w:val="decimal"/>
      <w:pStyle w:val="9"/>
      <w:lvlText w:val="%1.%2.%3.%4.%5.%6.%7"/>
      <w:lvlJc w:val="left"/>
      <w:pPr>
        <w:tabs>
          <w:tab w:val="left" w:pos="1296"/>
        </w:tabs>
        <w:ind w:left="1296" w:hanging="1296"/>
      </w:pPr>
      <w:rPr>
        <w:rFonts w:hint="default" w:ascii="Times New Roman" w:hAnsi="Times New Roman" w:eastAsia="仿宋_GB2312"/>
        <w:b/>
        <w:i/>
        <w:sz w:val="24"/>
      </w:rPr>
    </w:lvl>
    <w:lvl w:ilvl="7" w:tentative="0">
      <w:start w:val="1"/>
      <w:numFmt w:val="decimal"/>
      <w:pStyle w:val="10"/>
      <w:lvlText w:val="%1.%2.%3.%4.%5.%6.%7.%8"/>
      <w:lvlJc w:val="left"/>
      <w:pPr>
        <w:tabs>
          <w:tab w:val="left" w:pos="1440"/>
        </w:tabs>
        <w:ind w:left="1440" w:hanging="1440"/>
      </w:pPr>
      <w:rPr>
        <w:rFonts w:hint="default" w:ascii="Times New Roman" w:hAnsi="Times New Roman" w:eastAsia="仿宋_GB2312"/>
        <w:b/>
        <w:i/>
        <w:sz w:val="24"/>
      </w:rPr>
    </w:lvl>
    <w:lvl w:ilvl="8" w:tentative="0">
      <w:start w:val="1"/>
      <w:numFmt w:val="decimal"/>
      <w:pStyle w:val="11"/>
      <w:lvlText w:val="%1.%2.%3.%4.%5.%6.%7.%8.%9"/>
      <w:lvlJc w:val="left"/>
      <w:pPr>
        <w:tabs>
          <w:tab w:val="left" w:pos="1584"/>
        </w:tabs>
        <w:ind w:left="1584" w:hanging="1584"/>
      </w:pPr>
      <w:rPr>
        <w:rFonts w:hint="default" w:ascii="Times New Roman" w:hAnsi="Times New Roman" w:eastAsia="仿宋_GB2312"/>
        <w:b/>
        <w:i/>
        <w:sz w:val="24"/>
      </w:rPr>
    </w:lvl>
  </w:abstractNum>
  <w:abstractNum w:abstractNumId="6">
    <w:nsid w:val="072F4724"/>
    <w:multiLevelType w:val="multilevel"/>
    <w:tmpl w:val="072F4724"/>
    <w:lvl w:ilvl="0" w:tentative="0">
      <w:start w:val="1"/>
      <w:numFmt w:val="bullet"/>
      <w:pStyle w:val="1281"/>
      <w:lvlText w:val=""/>
      <w:lvlJc w:val="left"/>
      <w:pPr>
        <w:tabs>
          <w:tab w:val="left" w:pos="2041"/>
        </w:tabs>
        <w:ind w:left="2041" w:hanging="340"/>
      </w:pPr>
      <w:rPr>
        <w:rFonts w:hint="default" w:ascii="Wingdings" w:hAnsi="Wingdings"/>
        <w:sz w:val="16"/>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093C77F6"/>
    <w:multiLevelType w:val="multilevel"/>
    <w:tmpl w:val="093C77F6"/>
    <w:lvl w:ilvl="0" w:tentative="0">
      <w:start w:val="1"/>
      <w:numFmt w:val="bullet"/>
      <w:lvlText w:val=""/>
      <w:lvlJc w:val="left"/>
      <w:pPr>
        <w:tabs>
          <w:tab w:val="left" w:pos="1497"/>
        </w:tabs>
        <w:ind w:left="1497" w:hanging="420"/>
      </w:pPr>
      <w:rPr>
        <w:rFonts w:hint="default" w:ascii="Wingdings" w:hAnsi="Wingdings"/>
      </w:rPr>
    </w:lvl>
    <w:lvl w:ilvl="1" w:tentative="0">
      <w:start w:val="1"/>
      <w:numFmt w:val="bullet"/>
      <w:lvlText w:val=""/>
      <w:lvlJc w:val="left"/>
      <w:pPr>
        <w:tabs>
          <w:tab w:val="left" w:pos="1917"/>
        </w:tabs>
        <w:ind w:left="1917" w:hanging="420"/>
      </w:pPr>
      <w:rPr>
        <w:rFonts w:hint="default" w:ascii="Wingdings" w:hAnsi="Wingdings"/>
      </w:rPr>
    </w:lvl>
    <w:lvl w:ilvl="2" w:tentative="0">
      <w:start w:val="1"/>
      <w:numFmt w:val="bullet"/>
      <w:lvlText w:val=""/>
      <w:lvlJc w:val="left"/>
      <w:pPr>
        <w:tabs>
          <w:tab w:val="left" w:pos="2337"/>
        </w:tabs>
        <w:ind w:left="2337" w:hanging="420"/>
      </w:pPr>
      <w:rPr>
        <w:rFonts w:hint="default" w:ascii="Wingdings" w:hAnsi="Wingdings"/>
      </w:rPr>
    </w:lvl>
    <w:lvl w:ilvl="3" w:tentative="0">
      <w:start w:val="1"/>
      <w:numFmt w:val="bullet"/>
      <w:lvlText w:val=""/>
      <w:lvlJc w:val="left"/>
      <w:pPr>
        <w:tabs>
          <w:tab w:val="left" w:pos="2757"/>
        </w:tabs>
        <w:ind w:left="2757" w:hanging="420"/>
      </w:pPr>
      <w:rPr>
        <w:rFonts w:hint="default" w:ascii="Wingdings" w:hAnsi="Wingdings"/>
      </w:rPr>
    </w:lvl>
    <w:lvl w:ilvl="4" w:tentative="0">
      <w:start w:val="1"/>
      <w:numFmt w:val="bullet"/>
      <w:lvlText w:val=""/>
      <w:lvlJc w:val="left"/>
      <w:pPr>
        <w:tabs>
          <w:tab w:val="left" w:pos="3177"/>
        </w:tabs>
        <w:ind w:left="3177" w:hanging="420"/>
      </w:pPr>
      <w:rPr>
        <w:rFonts w:hint="default" w:ascii="Wingdings" w:hAnsi="Wingdings"/>
      </w:rPr>
    </w:lvl>
    <w:lvl w:ilvl="5" w:tentative="0">
      <w:start w:val="1"/>
      <w:numFmt w:val="bullet"/>
      <w:lvlText w:val=""/>
      <w:lvlJc w:val="left"/>
      <w:pPr>
        <w:tabs>
          <w:tab w:val="left" w:pos="3597"/>
        </w:tabs>
        <w:ind w:left="3597" w:hanging="420"/>
      </w:pPr>
      <w:rPr>
        <w:rFonts w:hint="default" w:ascii="Wingdings" w:hAnsi="Wingdings"/>
      </w:rPr>
    </w:lvl>
    <w:lvl w:ilvl="6" w:tentative="0">
      <w:start w:val="1"/>
      <w:numFmt w:val="bullet"/>
      <w:lvlText w:val=""/>
      <w:lvlJc w:val="left"/>
      <w:pPr>
        <w:tabs>
          <w:tab w:val="left" w:pos="4017"/>
        </w:tabs>
        <w:ind w:left="4017" w:hanging="420"/>
      </w:pPr>
      <w:rPr>
        <w:rFonts w:hint="default" w:ascii="Wingdings" w:hAnsi="Wingdings"/>
      </w:rPr>
    </w:lvl>
    <w:lvl w:ilvl="7" w:tentative="0">
      <w:start w:val="1"/>
      <w:numFmt w:val="bullet"/>
      <w:lvlText w:val=""/>
      <w:lvlJc w:val="left"/>
      <w:pPr>
        <w:tabs>
          <w:tab w:val="left" w:pos="4437"/>
        </w:tabs>
        <w:ind w:left="4437" w:hanging="420"/>
      </w:pPr>
      <w:rPr>
        <w:rFonts w:hint="default" w:ascii="Wingdings" w:hAnsi="Wingdings"/>
      </w:rPr>
    </w:lvl>
    <w:lvl w:ilvl="8" w:tentative="0">
      <w:start w:val="1"/>
      <w:numFmt w:val="bullet"/>
      <w:lvlText w:val=""/>
      <w:lvlJc w:val="left"/>
      <w:pPr>
        <w:tabs>
          <w:tab w:val="left" w:pos="4857"/>
        </w:tabs>
        <w:ind w:left="4857" w:hanging="420"/>
      </w:pPr>
      <w:rPr>
        <w:rFonts w:hint="default" w:ascii="Wingdings" w:hAnsi="Wingdings"/>
      </w:rPr>
    </w:lvl>
  </w:abstractNum>
  <w:abstractNum w:abstractNumId="8">
    <w:nsid w:val="0DD43F6D"/>
    <w:multiLevelType w:val="multilevel"/>
    <w:tmpl w:val="0DD43F6D"/>
    <w:lvl w:ilvl="0" w:tentative="0">
      <w:start w:val="1"/>
      <w:numFmt w:val="bullet"/>
      <w:lvlText w:val=""/>
      <w:lvlJc w:val="left"/>
      <w:pPr>
        <w:tabs>
          <w:tab w:val="left" w:pos="1497"/>
        </w:tabs>
        <w:ind w:left="1497" w:hanging="420"/>
      </w:pPr>
      <w:rPr>
        <w:rFonts w:hint="default" w:ascii="Wingdings" w:hAnsi="Wingdings"/>
      </w:rPr>
    </w:lvl>
    <w:lvl w:ilvl="1" w:tentative="0">
      <w:start w:val="1"/>
      <w:numFmt w:val="bullet"/>
      <w:lvlText w:val=""/>
      <w:lvlJc w:val="left"/>
      <w:pPr>
        <w:tabs>
          <w:tab w:val="left" w:pos="1917"/>
        </w:tabs>
        <w:ind w:left="1917" w:hanging="420"/>
      </w:pPr>
      <w:rPr>
        <w:rFonts w:hint="default" w:ascii="Wingdings" w:hAnsi="Wingdings"/>
      </w:rPr>
    </w:lvl>
    <w:lvl w:ilvl="2" w:tentative="0">
      <w:start w:val="1"/>
      <w:numFmt w:val="bullet"/>
      <w:lvlText w:val=""/>
      <w:lvlJc w:val="left"/>
      <w:pPr>
        <w:tabs>
          <w:tab w:val="left" w:pos="2337"/>
        </w:tabs>
        <w:ind w:left="2337" w:hanging="420"/>
      </w:pPr>
      <w:rPr>
        <w:rFonts w:hint="default" w:ascii="Wingdings" w:hAnsi="Wingdings"/>
      </w:rPr>
    </w:lvl>
    <w:lvl w:ilvl="3" w:tentative="0">
      <w:start w:val="1"/>
      <w:numFmt w:val="bullet"/>
      <w:lvlText w:val=""/>
      <w:lvlJc w:val="left"/>
      <w:pPr>
        <w:tabs>
          <w:tab w:val="left" w:pos="2757"/>
        </w:tabs>
        <w:ind w:left="2757" w:hanging="420"/>
      </w:pPr>
      <w:rPr>
        <w:rFonts w:hint="default" w:ascii="Wingdings" w:hAnsi="Wingdings"/>
      </w:rPr>
    </w:lvl>
    <w:lvl w:ilvl="4" w:tentative="0">
      <w:start w:val="1"/>
      <w:numFmt w:val="bullet"/>
      <w:lvlText w:val=""/>
      <w:lvlJc w:val="left"/>
      <w:pPr>
        <w:tabs>
          <w:tab w:val="left" w:pos="3177"/>
        </w:tabs>
        <w:ind w:left="3177" w:hanging="420"/>
      </w:pPr>
      <w:rPr>
        <w:rFonts w:hint="default" w:ascii="Wingdings" w:hAnsi="Wingdings"/>
      </w:rPr>
    </w:lvl>
    <w:lvl w:ilvl="5" w:tentative="0">
      <w:start w:val="1"/>
      <w:numFmt w:val="bullet"/>
      <w:lvlText w:val=""/>
      <w:lvlJc w:val="left"/>
      <w:pPr>
        <w:tabs>
          <w:tab w:val="left" w:pos="3597"/>
        </w:tabs>
        <w:ind w:left="3597" w:hanging="420"/>
      </w:pPr>
      <w:rPr>
        <w:rFonts w:hint="default" w:ascii="Wingdings" w:hAnsi="Wingdings"/>
      </w:rPr>
    </w:lvl>
    <w:lvl w:ilvl="6" w:tentative="0">
      <w:start w:val="1"/>
      <w:numFmt w:val="bullet"/>
      <w:lvlText w:val=""/>
      <w:lvlJc w:val="left"/>
      <w:pPr>
        <w:tabs>
          <w:tab w:val="left" w:pos="4017"/>
        </w:tabs>
        <w:ind w:left="4017" w:hanging="420"/>
      </w:pPr>
      <w:rPr>
        <w:rFonts w:hint="default" w:ascii="Wingdings" w:hAnsi="Wingdings"/>
      </w:rPr>
    </w:lvl>
    <w:lvl w:ilvl="7" w:tentative="0">
      <w:start w:val="1"/>
      <w:numFmt w:val="bullet"/>
      <w:lvlText w:val=""/>
      <w:lvlJc w:val="left"/>
      <w:pPr>
        <w:tabs>
          <w:tab w:val="left" w:pos="4437"/>
        </w:tabs>
        <w:ind w:left="4437" w:hanging="420"/>
      </w:pPr>
      <w:rPr>
        <w:rFonts w:hint="default" w:ascii="Wingdings" w:hAnsi="Wingdings"/>
      </w:rPr>
    </w:lvl>
    <w:lvl w:ilvl="8" w:tentative="0">
      <w:start w:val="1"/>
      <w:numFmt w:val="bullet"/>
      <w:lvlText w:val=""/>
      <w:lvlJc w:val="left"/>
      <w:pPr>
        <w:tabs>
          <w:tab w:val="left" w:pos="4857"/>
        </w:tabs>
        <w:ind w:left="4857" w:hanging="420"/>
      </w:pPr>
      <w:rPr>
        <w:rFonts w:hint="default" w:ascii="Wingdings" w:hAnsi="Wingdings"/>
      </w:rPr>
    </w:lvl>
  </w:abstractNum>
  <w:abstractNum w:abstractNumId="9">
    <w:nsid w:val="0F0F702D"/>
    <w:multiLevelType w:val="multilevel"/>
    <w:tmpl w:val="0F0F702D"/>
    <w:lvl w:ilvl="0" w:tentative="0">
      <w:start w:val="1"/>
      <w:numFmt w:val="decimal"/>
      <w:pStyle w:val="956"/>
      <w:suff w:val="nothing"/>
      <w:lvlText w:val="第%1章  "/>
      <w:lvlJc w:val="left"/>
      <w:pPr>
        <w:ind w:left="425" w:hanging="425"/>
      </w:pPr>
      <w:rPr>
        <w:rFonts w:hint="eastAsia"/>
      </w:rPr>
    </w:lvl>
    <w:lvl w:ilvl="1" w:tentative="0">
      <w:start w:val="1"/>
      <w:numFmt w:val="decimal"/>
      <w:suff w:val="nothing"/>
      <w:lvlText w:val="%1.%2 "/>
      <w:lvlJc w:val="left"/>
      <w:pPr>
        <w:ind w:left="567" w:hanging="567"/>
      </w:pPr>
      <w:rPr>
        <w:rFonts w:hint="eastAsia"/>
      </w:rPr>
    </w:lvl>
    <w:lvl w:ilvl="2" w:tentative="0">
      <w:start w:val="1"/>
      <w:numFmt w:val="decimal"/>
      <w:suff w:val="nothing"/>
      <w:lvlText w:val="%1.%2.%3 "/>
      <w:lvlJc w:val="left"/>
      <w:pPr>
        <w:ind w:left="709" w:hanging="709"/>
      </w:pPr>
      <w:rPr>
        <w:rFonts w:hint="eastAsia"/>
      </w:rPr>
    </w:lvl>
    <w:lvl w:ilvl="3" w:tentative="0">
      <w:start w:val="1"/>
      <w:numFmt w:val="decimal"/>
      <w:suff w:val="nothing"/>
      <w:lvlText w:val="%1.%2.%3.%4 "/>
      <w:lvlJc w:val="left"/>
      <w:pPr>
        <w:ind w:left="851" w:hanging="851"/>
      </w:pPr>
      <w:rPr>
        <w:rFonts w:hint="eastAsia"/>
      </w:rPr>
    </w:lvl>
    <w:lvl w:ilvl="4" w:tentative="0">
      <w:start w:val="1"/>
      <w:numFmt w:val="decimal"/>
      <w:suff w:val="nothing"/>
      <w:lvlText w:val="   （%5）"/>
      <w:lvlJc w:val="left"/>
      <w:pPr>
        <w:ind w:left="992" w:hanging="992"/>
      </w:pPr>
      <w:rPr>
        <w:rFonts w:hint="eastAsia"/>
      </w:rPr>
    </w:lvl>
    <w:lvl w:ilvl="5" w:tentative="0">
      <w:start w:val="1"/>
      <w:numFmt w:val="decimal"/>
      <w:suff w:val="nothing"/>
      <w:lvlText w:val="     %6）"/>
      <w:lvlJc w:val="left"/>
      <w:pPr>
        <w:ind w:left="1134" w:hanging="1134"/>
      </w:pPr>
      <w:rPr>
        <w:rFonts w:hint="eastAsia"/>
      </w:rPr>
    </w:lvl>
    <w:lvl w:ilvl="6" w:tentative="0">
      <w:start w:val="1"/>
      <w:numFmt w:val="lowerLetter"/>
      <w:suff w:val="space"/>
      <w:lvlText w:val="     %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0">
    <w:nsid w:val="105D0378"/>
    <w:multiLevelType w:val="multilevel"/>
    <w:tmpl w:val="105D0378"/>
    <w:lvl w:ilvl="0" w:tentative="0">
      <w:start w:val="4"/>
      <w:numFmt w:val="decimal"/>
      <w:lvlText w:val="%1"/>
      <w:lvlJc w:val="left"/>
      <w:pPr>
        <w:tabs>
          <w:tab w:val="left" w:pos="840"/>
        </w:tabs>
        <w:ind w:left="840" w:hanging="840"/>
      </w:pPr>
      <w:rPr>
        <w:rFonts w:hint="default"/>
      </w:rPr>
    </w:lvl>
    <w:lvl w:ilvl="1" w:tentative="0">
      <w:start w:val="1"/>
      <w:numFmt w:val="decimal"/>
      <w:pStyle w:val="1243"/>
      <w:lvlText w:val="%1.%2"/>
      <w:lvlJc w:val="left"/>
      <w:pPr>
        <w:tabs>
          <w:tab w:val="left" w:pos="840"/>
        </w:tabs>
        <w:ind w:left="840" w:hanging="840"/>
      </w:pPr>
      <w:rPr>
        <w:rFonts w:hint="default"/>
      </w:rPr>
    </w:lvl>
    <w:lvl w:ilvl="2" w:tentative="0">
      <w:start w:val="1"/>
      <w:numFmt w:val="decimal"/>
      <w:lvlText w:val="%1．%2.%3"/>
      <w:lvlJc w:val="left"/>
      <w:pPr>
        <w:tabs>
          <w:tab w:val="left" w:pos="840"/>
        </w:tabs>
        <w:ind w:left="840" w:hanging="840"/>
      </w:pPr>
      <w:rPr>
        <w:rFonts w:hint="default"/>
      </w:rPr>
    </w:lvl>
    <w:lvl w:ilvl="3" w:tentative="0">
      <w:start w:val="1"/>
      <w:numFmt w:val="decimal"/>
      <w:lvlText w:val="%1．%2.%3.%4"/>
      <w:lvlJc w:val="left"/>
      <w:pPr>
        <w:tabs>
          <w:tab w:val="left" w:pos="840"/>
        </w:tabs>
        <w:ind w:left="840" w:hanging="840"/>
      </w:pPr>
      <w:rPr>
        <w:rFonts w:hint="default"/>
      </w:rPr>
    </w:lvl>
    <w:lvl w:ilvl="4" w:tentative="0">
      <w:start w:val="1"/>
      <w:numFmt w:val="decimal"/>
      <w:lvlText w:val="%1．%2.%3.%4.%5"/>
      <w:lvlJc w:val="left"/>
      <w:pPr>
        <w:tabs>
          <w:tab w:val="left" w:pos="840"/>
        </w:tabs>
        <w:ind w:left="840" w:hanging="840"/>
      </w:pPr>
      <w:rPr>
        <w:rFonts w:hint="default"/>
      </w:rPr>
    </w:lvl>
    <w:lvl w:ilvl="5" w:tentative="0">
      <w:start w:val="1"/>
      <w:numFmt w:val="decimal"/>
      <w:lvlText w:val="%1．%2.%3.%4.%5.%6"/>
      <w:lvlJc w:val="left"/>
      <w:pPr>
        <w:tabs>
          <w:tab w:val="left" w:pos="840"/>
        </w:tabs>
        <w:ind w:left="840" w:hanging="840"/>
      </w:pPr>
      <w:rPr>
        <w:rFonts w:hint="default"/>
      </w:rPr>
    </w:lvl>
    <w:lvl w:ilvl="6" w:tentative="0">
      <w:start w:val="1"/>
      <w:numFmt w:val="decimal"/>
      <w:lvlText w:val="%1．%2.%3.%4.%5.%6.%7"/>
      <w:lvlJc w:val="left"/>
      <w:pPr>
        <w:tabs>
          <w:tab w:val="left" w:pos="840"/>
        </w:tabs>
        <w:ind w:left="840" w:hanging="840"/>
      </w:pPr>
      <w:rPr>
        <w:rFonts w:hint="default"/>
      </w:rPr>
    </w:lvl>
    <w:lvl w:ilvl="7" w:tentative="0">
      <w:start w:val="1"/>
      <w:numFmt w:val="decimal"/>
      <w:lvlText w:val="%1．%2.%3.%4.%5.%6.%7.%8"/>
      <w:lvlJc w:val="left"/>
      <w:pPr>
        <w:tabs>
          <w:tab w:val="left" w:pos="840"/>
        </w:tabs>
        <w:ind w:left="840" w:hanging="840"/>
      </w:pPr>
      <w:rPr>
        <w:rFonts w:hint="default"/>
      </w:rPr>
    </w:lvl>
    <w:lvl w:ilvl="8" w:tentative="0">
      <w:start w:val="1"/>
      <w:numFmt w:val="decimal"/>
      <w:lvlText w:val="%1．%2.%3.%4.%5.%6.%7.%8.%9"/>
      <w:lvlJc w:val="left"/>
      <w:pPr>
        <w:tabs>
          <w:tab w:val="left" w:pos="840"/>
        </w:tabs>
        <w:ind w:left="840" w:hanging="840"/>
      </w:pPr>
      <w:rPr>
        <w:rFonts w:hint="default"/>
      </w:rPr>
    </w:lvl>
  </w:abstractNum>
  <w:abstractNum w:abstractNumId="11">
    <w:nsid w:val="18E07E42"/>
    <w:multiLevelType w:val="multilevel"/>
    <w:tmpl w:val="18E07E42"/>
    <w:lvl w:ilvl="0" w:tentative="0">
      <w:start w:val="1"/>
      <w:numFmt w:val="bullet"/>
      <w:pStyle w:val="1300"/>
      <w:lvlText w:val=""/>
      <w:lvlJc w:val="left"/>
      <w:pPr>
        <w:tabs>
          <w:tab w:val="left" w:pos="840"/>
        </w:tabs>
        <w:ind w:left="840" w:hanging="420"/>
      </w:pPr>
      <w:rPr>
        <w:rFonts w:hint="default" w:ascii="Wingdings" w:hAnsi="Wingdings" w:cs="Wingdings"/>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12">
    <w:nsid w:val="1C964BCC"/>
    <w:multiLevelType w:val="multilevel"/>
    <w:tmpl w:val="1C964BCC"/>
    <w:lvl w:ilvl="0" w:tentative="0">
      <w:start w:val="1"/>
      <w:numFmt w:val="bullet"/>
      <w:pStyle w:val="1159"/>
      <w:lvlText w:val=""/>
      <w:lvlJc w:val="left"/>
      <w:pPr>
        <w:tabs>
          <w:tab w:val="left" w:pos="1680"/>
        </w:tabs>
        <w:ind w:left="1680" w:hanging="420"/>
      </w:pPr>
      <w:rPr>
        <w:rFonts w:hint="default" w:ascii="Wingdings" w:hAnsi="Wingdings"/>
      </w:rPr>
    </w:lvl>
    <w:lvl w:ilvl="1" w:tentative="0">
      <w:start w:val="1"/>
      <w:numFmt w:val="bullet"/>
      <w:lvlText w:val=""/>
      <w:lvlJc w:val="left"/>
      <w:pPr>
        <w:tabs>
          <w:tab w:val="left" w:pos="2100"/>
        </w:tabs>
        <w:ind w:left="2100" w:hanging="420"/>
      </w:pPr>
      <w:rPr>
        <w:rFonts w:hint="default" w:ascii="Wingdings" w:hAnsi="Wingdings"/>
      </w:rPr>
    </w:lvl>
    <w:lvl w:ilvl="2" w:tentative="0">
      <w:start w:val="1"/>
      <w:numFmt w:val="bullet"/>
      <w:lvlText w:val=""/>
      <w:lvlJc w:val="left"/>
      <w:pPr>
        <w:tabs>
          <w:tab w:val="left" w:pos="2520"/>
        </w:tabs>
        <w:ind w:left="2520" w:hanging="420"/>
      </w:pPr>
      <w:rPr>
        <w:rFonts w:hint="default" w:ascii="Wingdings" w:hAnsi="Wingdings"/>
      </w:rPr>
    </w:lvl>
    <w:lvl w:ilvl="3" w:tentative="0">
      <w:start w:val="1"/>
      <w:numFmt w:val="bullet"/>
      <w:lvlText w:val=""/>
      <w:lvlJc w:val="left"/>
      <w:pPr>
        <w:tabs>
          <w:tab w:val="left" w:pos="2940"/>
        </w:tabs>
        <w:ind w:left="2940" w:hanging="420"/>
      </w:pPr>
      <w:rPr>
        <w:rFonts w:hint="default" w:ascii="Wingdings" w:hAnsi="Wingdings"/>
      </w:rPr>
    </w:lvl>
    <w:lvl w:ilvl="4" w:tentative="0">
      <w:start w:val="1"/>
      <w:numFmt w:val="bullet"/>
      <w:lvlText w:val=""/>
      <w:lvlJc w:val="left"/>
      <w:pPr>
        <w:tabs>
          <w:tab w:val="left" w:pos="3360"/>
        </w:tabs>
        <w:ind w:left="3360" w:hanging="420"/>
      </w:pPr>
      <w:rPr>
        <w:rFonts w:hint="default" w:ascii="Wingdings" w:hAnsi="Wingdings"/>
      </w:rPr>
    </w:lvl>
    <w:lvl w:ilvl="5" w:tentative="0">
      <w:start w:val="1"/>
      <w:numFmt w:val="bullet"/>
      <w:lvlText w:val=""/>
      <w:lvlJc w:val="left"/>
      <w:pPr>
        <w:tabs>
          <w:tab w:val="left" w:pos="3780"/>
        </w:tabs>
        <w:ind w:left="3780" w:hanging="420"/>
      </w:pPr>
      <w:rPr>
        <w:rFonts w:hint="default" w:ascii="Wingdings" w:hAnsi="Wingdings"/>
      </w:rPr>
    </w:lvl>
    <w:lvl w:ilvl="6" w:tentative="0">
      <w:start w:val="1"/>
      <w:numFmt w:val="bullet"/>
      <w:lvlText w:val=""/>
      <w:lvlJc w:val="left"/>
      <w:pPr>
        <w:tabs>
          <w:tab w:val="left" w:pos="4200"/>
        </w:tabs>
        <w:ind w:left="4200" w:hanging="420"/>
      </w:pPr>
      <w:rPr>
        <w:rFonts w:hint="default" w:ascii="Wingdings" w:hAnsi="Wingdings"/>
      </w:rPr>
    </w:lvl>
    <w:lvl w:ilvl="7" w:tentative="0">
      <w:start w:val="1"/>
      <w:numFmt w:val="bullet"/>
      <w:lvlText w:val=""/>
      <w:lvlJc w:val="left"/>
      <w:pPr>
        <w:tabs>
          <w:tab w:val="left" w:pos="4620"/>
        </w:tabs>
        <w:ind w:left="4620" w:hanging="420"/>
      </w:pPr>
      <w:rPr>
        <w:rFonts w:hint="default" w:ascii="Wingdings" w:hAnsi="Wingdings"/>
      </w:rPr>
    </w:lvl>
    <w:lvl w:ilvl="8" w:tentative="0">
      <w:start w:val="1"/>
      <w:numFmt w:val="bullet"/>
      <w:lvlText w:val=""/>
      <w:lvlJc w:val="left"/>
      <w:pPr>
        <w:tabs>
          <w:tab w:val="left" w:pos="5040"/>
        </w:tabs>
        <w:ind w:left="5040" w:hanging="420"/>
      </w:pPr>
      <w:rPr>
        <w:rFonts w:hint="default" w:ascii="Wingdings" w:hAnsi="Wingdings"/>
      </w:rPr>
    </w:lvl>
  </w:abstractNum>
  <w:abstractNum w:abstractNumId="13">
    <w:nsid w:val="20F63E36"/>
    <w:multiLevelType w:val="multilevel"/>
    <w:tmpl w:val="20F63E36"/>
    <w:lvl w:ilvl="0" w:tentative="0">
      <w:start w:val="1"/>
      <w:numFmt w:val="decimal"/>
      <w:lvlText w:val="%1"/>
      <w:lvlJc w:val="left"/>
      <w:pPr>
        <w:tabs>
          <w:tab w:val="left" w:pos="1152"/>
        </w:tabs>
        <w:ind w:left="1152" w:hanging="1152"/>
      </w:pPr>
      <w:rPr>
        <w:rFonts w:hint="default" w:ascii="Arial" w:hAnsi="Arial"/>
        <w:b/>
        <w:i w:val="0"/>
        <w:sz w:val="24"/>
      </w:rPr>
    </w:lvl>
    <w:lvl w:ilvl="1" w:tentative="0">
      <w:start w:val="1"/>
      <w:numFmt w:val="decimal"/>
      <w:lvlText w:val="%1.%2"/>
      <w:lvlJc w:val="left"/>
      <w:pPr>
        <w:tabs>
          <w:tab w:val="left" w:pos="1152"/>
        </w:tabs>
        <w:ind w:left="1152" w:hanging="1152"/>
      </w:pPr>
      <w:rPr>
        <w:rFonts w:hint="default" w:ascii="Arial" w:hAnsi="Arial"/>
        <w:b w:val="0"/>
        <w:i w:val="0"/>
        <w:sz w:val="24"/>
      </w:rPr>
    </w:lvl>
    <w:lvl w:ilvl="2" w:tentative="0">
      <w:start w:val="1"/>
      <w:numFmt w:val="decimal"/>
      <w:lvlText w:val="%1.%2.%3"/>
      <w:lvlJc w:val="left"/>
      <w:pPr>
        <w:tabs>
          <w:tab w:val="left" w:pos="1152"/>
        </w:tabs>
        <w:ind w:left="1152" w:hanging="1152"/>
      </w:pPr>
      <w:rPr>
        <w:rFonts w:hint="default" w:ascii="Arial" w:hAnsi="Arial"/>
        <w:b w:val="0"/>
        <w:i w:val="0"/>
        <w:sz w:val="24"/>
      </w:rPr>
    </w:lvl>
    <w:lvl w:ilvl="3" w:tentative="0">
      <w:start w:val="1"/>
      <w:numFmt w:val="lowerLetter"/>
      <w:lvlText w:val="%4)"/>
      <w:lvlJc w:val="left"/>
      <w:pPr>
        <w:tabs>
          <w:tab w:val="left" w:pos="1728"/>
        </w:tabs>
        <w:ind w:left="1728" w:hanging="576"/>
      </w:pPr>
      <w:rPr>
        <w:rFonts w:hint="default" w:ascii="Arial" w:hAnsi="Arial"/>
        <w:b w:val="0"/>
        <w:i w:val="0"/>
        <w:sz w:val="24"/>
      </w:rPr>
    </w:lvl>
    <w:lvl w:ilvl="4" w:tentative="0">
      <w:start w:val="1"/>
      <w:numFmt w:val="lowerRoman"/>
      <w:pStyle w:val="583"/>
      <w:lvlText w:val="%5)"/>
      <w:lvlJc w:val="left"/>
      <w:pPr>
        <w:tabs>
          <w:tab w:val="left" w:pos="2160"/>
        </w:tabs>
        <w:ind w:left="2160" w:hanging="432"/>
      </w:pPr>
      <w:rPr>
        <w:rFonts w:hint="default" w:ascii="Arial" w:hAnsi="Arial"/>
        <w:b w:val="0"/>
        <w:i w:val="0"/>
        <w:sz w:val="24"/>
      </w:rPr>
    </w:lvl>
    <w:lvl w:ilvl="5" w:tentative="0">
      <w:start w:val="1"/>
      <w:numFmt w:val="decimal"/>
      <w:lvlText w:val="%6)"/>
      <w:lvlJc w:val="left"/>
      <w:pPr>
        <w:tabs>
          <w:tab w:val="left" w:pos="1728"/>
        </w:tabs>
        <w:ind w:left="1728" w:hanging="576"/>
      </w:pPr>
      <w:rPr>
        <w:rFonts w:hint="default" w:ascii="Arial" w:hAnsi="Arial"/>
        <w:b w:val="0"/>
        <w:i w:val="0"/>
        <w:sz w:val="24"/>
      </w:rPr>
    </w:lvl>
    <w:lvl w:ilvl="6" w:tentative="0">
      <w:start w:val="1"/>
      <w:numFmt w:val="lowerLetter"/>
      <w:lvlText w:val="%7)"/>
      <w:lvlJc w:val="left"/>
      <w:pPr>
        <w:tabs>
          <w:tab w:val="left" w:pos="2304"/>
        </w:tabs>
        <w:ind w:left="2304" w:hanging="576"/>
      </w:pPr>
      <w:rPr>
        <w:rFonts w:hint="default" w:ascii="Arial" w:hAnsi="Arial"/>
        <w:b w:val="0"/>
        <w:i w:val="0"/>
        <w:sz w:val="24"/>
      </w:rPr>
    </w:lvl>
    <w:lvl w:ilvl="7" w:tentative="0">
      <w:start w:val="1"/>
      <w:numFmt w:val="lowerRoman"/>
      <w:lvlText w:val="%8)"/>
      <w:lvlJc w:val="left"/>
      <w:pPr>
        <w:tabs>
          <w:tab w:val="left" w:pos="2880"/>
        </w:tabs>
        <w:ind w:left="2880" w:hanging="576"/>
      </w:pPr>
      <w:rPr>
        <w:rFonts w:hint="default" w:ascii="Arial" w:hAnsi="Arial"/>
        <w:b w:val="0"/>
        <w:i w:val="0"/>
        <w:sz w:val="24"/>
      </w:rPr>
    </w:lvl>
    <w:lvl w:ilvl="8" w:tentative="0">
      <w:start w:val="1"/>
      <w:numFmt w:val="decimal"/>
      <w:lvlText w:val="%7.%8.%9."/>
      <w:lvlJc w:val="left"/>
      <w:pPr>
        <w:tabs>
          <w:tab w:val="left" w:pos="0"/>
        </w:tabs>
        <w:ind w:left="6372" w:hanging="708"/>
      </w:pPr>
      <w:rPr>
        <w:rFonts w:hint="eastAsia"/>
      </w:rPr>
    </w:lvl>
  </w:abstractNum>
  <w:abstractNum w:abstractNumId="14">
    <w:nsid w:val="25351AA3"/>
    <w:multiLevelType w:val="multilevel"/>
    <w:tmpl w:val="25351AA3"/>
    <w:lvl w:ilvl="0" w:tentative="0">
      <w:start w:val="1"/>
      <w:numFmt w:val="lowerLetter"/>
      <w:lvlText w:val="%1)"/>
      <w:lvlJc w:val="left"/>
      <w:pPr>
        <w:tabs>
          <w:tab w:val="left" w:pos="620"/>
        </w:tabs>
        <w:ind w:left="620" w:hanging="420"/>
      </w:pPr>
      <w:rPr>
        <w:rFonts w:hint="eastAsia"/>
      </w:rPr>
    </w:lvl>
    <w:lvl w:ilvl="1" w:tentative="0">
      <w:start w:val="1"/>
      <w:numFmt w:val="bullet"/>
      <w:pStyle w:val="1165"/>
      <w:lvlText w:val=""/>
      <w:lvlJc w:val="left"/>
      <w:pPr>
        <w:tabs>
          <w:tab w:val="left" w:pos="1320"/>
        </w:tabs>
        <w:ind w:left="1320" w:hanging="420"/>
      </w:pPr>
      <w:rPr>
        <w:rFonts w:hint="default" w:ascii="Wingdings" w:hAnsi="Wingdings"/>
      </w:rPr>
    </w:lvl>
    <w:lvl w:ilvl="2" w:tentative="0">
      <w:start w:val="1"/>
      <w:numFmt w:val="lowerLetter"/>
      <w:lvlText w:val="%3)"/>
      <w:lvlJc w:val="left"/>
      <w:pPr>
        <w:tabs>
          <w:tab w:val="left" w:pos="1740"/>
        </w:tabs>
        <w:ind w:left="1740" w:hanging="420"/>
      </w:pPr>
      <w:rPr>
        <w:rFonts w:hint="eastAsia"/>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5">
    <w:nsid w:val="298D312B"/>
    <w:multiLevelType w:val="multilevel"/>
    <w:tmpl w:val="298D312B"/>
    <w:lvl w:ilvl="0" w:tentative="0">
      <w:start w:val="1"/>
      <w:numFmt w:val="bullet"/>
      <w:lvlText w:val=""/>
      <w:lvlJc w:val="left"/>
      <w:pPr>
        <w:tabs>
          <w:tab w:val="left" w:pos="1500"/>
        </w:tabs>
        <w:ind w:left="1500" w:hanging="420"/>
      </w:pPr>
      <w:rPr>
        <w:rFonts w:hint="default" w:ascii="Wingdings" w:hAnsi="Wingdings"/>
      </w:rPr>
    </w:lvl>
    <w:lvl w:ilvl="1" w:tentative="0">
      <w:start w:val="1"/>
      <w:numFmt w:val="bullet"/>
      <w:lvlText w:val=""/>
      <w:lvlJc w:val="left"/>
      <w:pPr>
        <w:tabs>
          <w:tab w:val="left" w:pos="1920"/>
        </w:tabs>
        <w:ind w:left="1920" w:hanging="420"/>
      </w:pPr>
      <w:rPr>
        <w:rFonts w:hint="default" w:ascii="Wingdings" w:hAnsi="Wingdings"/>
      </w:rPr>
    </w:lvl>
    <w:lvl w:ilvl="2" w:tentative="0">
      <w:start w:val="1"/>
      <w:numFmt w:val="bullet"/>
      <w:lvlText w:val=""/>
      <w:lvlJc w:val="left"/>
      <w:pPr>
        <w:tabs>
          <w:tab w:val="left" w:pos="2340"/>
        </w:tabs>
        <w:ind w:left="2340" w:hanging="420"/>
      </w:pPr>
      <w:rPr>
        <w:rFonts w:hint="default" w:ascii="Wingdings" w:hAnsi="Wingdings"/>
      </w:rPr>
    </w:lvl>
    <w:lvl w:ilvl="3" w:tentative="0">
      <w:start w:val="1"/>
      <w:numFmt w:val="bullet"/>
      <w:lvlText w:val=""/>
      <w:lvlJc w:val="left"/>
      <w:pPr>
        <w:tabs>
          <w:tab w:val="left" w:pos="2760"/>
        </w:tabs>
        <w:ind w:left="2760" w:hanging="420"/>
      </w:pPr>
      <w:rPr>
        <w:rFonts w:hint="default" w:ascii="Wingdings" w:hAnsi="Wingdings"/>
      </w:rPr>
    </w:lvl>
    <w:lvl w:ilvl="4" w:tentative="0">
      <w:start w:val="1"/>
      <w:numFmt w:val="bullet"/>
      <w:lvlText w:val=""/>
      <w:lvlJc w:val="left"/>
      <w:pPr>
        <w:tabs>
          <w:tab w:val="left" w:pos="3180"/>
        </w:tabs>
        <w:ind w:left="3180" w:hanging="420"/>
      </w:pPr>
      <w:rPr>
        <w:rFonts w:hint="default" w:ascii="Wingdings" w:hAnsi="Wingdings"/>
      </w:rPr>
    </w:lvl>
    <w:lvl w:ilvl="5" w:tentative="0">
      <w:start w:val="1"/>
      <w:numFmt w:val="bullet"/>
      <w:lvlText w:val=""/>
      <w:lvlJc w:val="left"/>
      <w:pPr>
        <w:tabs>
          <w:tab w:val="left" w:pos="3600"/>
        </w:tabs>
        <w:ind w:left="3600" w:hanging="420"/>
      </w:pPr>
      <w:rPr>
        <w:rFonts w:hint="default" w:ascii="Wingdings" w:hAnsi="Wingdings"/>
      </w:rPr>
    </w:lvl>
    <w:lvl w:ilvl="6" w:tentative="0">
      <w:start w:val="1"/>
      <w:numFmt w:val="bullet"/>
      <w:lvlText w:val=""/>
      <w:lvlJc w:val="left"/>
      <w:pPr>
        <w:tabs>
          <w:tab w:val="left" w:pos="4020"/>
        </w:tabs>
        <w:ind w:left="4020" w:hanging="420"/>
      </w:pPr>
      <w:rPr>
        <w:rFonts w:hint="default" w:ascii="Wingdings" w:hAnsi="Wingdings"/>
      </w:rPr>
    </w:lvl>
    <w:lvl w:ilvl="7" w:tentative="0">
      <w:start w:val="1"/>
      <w:numFmt w:val="bullet"/>
      <w:lvlText w:val=""/>
      <w:lvlJc w:val="left"/>
      <w:pPr>
        <w:tabs>
          <w:tab w:val="left" w:pos="4440"/>
        </w:tabs>
        <w:ind w:left="4440" w:hanging="420"/>
      </w:pPr>
      <w:rPr>
        <w:rFonts w:hint="default" w:ascii="Wingdings" w:hAnsi="Wingdings"/>
      </w:rPr>
    </w:lvl>
    <w:lvl w:ilvl="8" w:tentative="0">
      <w:start w:val="1"/>
      <w:numFmt w:val="bullet"/>
      <w:lvlText w:val=""/>
      <w:lvlJc w:val="left"/>
      <w:pPr>
        <w:tabs>
          <w:tab w:val="left" w:pos="4860"/>
        </w:tabs>
        <w:ind w:left="4860" w:hanging="420"/>
      </w:pPr>
      <w:rPr>
        <w:rFonts w:hint="default" w:ascii="Wingdings" w:hAnsi="Wingdings"/>
      </w:rPr>
    </w:lvl>
  </w:abstractNum>
  <w:abstractNum w:abstractNumId="16">
    <w:nsid w:val="2B7F56F2"/>
    <w:multiLevelType w:val="multilevel"/>
    <w:tmpl w:val="2B7F56F2"/>
    <w:lvl w:ilvl="0" w:tentative="0">
      <w:start w:val="1"/>
      <w:numFmt w:val="decimal"/>
      <w:lvlText w:val="%1."/>
      <w:lvlJc w:val="left"/>
      <w:pPr>
        <w:tabs>
          <w:tab w:val="left" w:pos="992"/>
        </w:tabs>
        <w:ind w:left="992" w:hanging="992"/>
      </w:pPr>
      <w:rPr>
        <w:rFonts w:hint="eastAsia" w:ascii="宋体" w:eastAsia="宋体"/>
        <w:b/>
        <w:i w:val="0"/>
        <w:sz w:val="24"/>
      </w:rPr>
    </w:lvl>
    <w:lvl w:ilvl="1" w:tentative="0">
      <w:start w:val="1"/>
      <w:numFmt w:val="decimal"/>
      <w:lvlText w:val="%1.%2"/>
      <w:lvlJc w:val="left"/>
      <w:pPr>
        <w:tabs>
          <w:tab w:val="left" w:pos="992"/>
        </w:tabs>
        <w:ind w:left="992" w:hanging="992"/>
      </w:pPr>
      <w:rPr>
        <w:rFonts w:hint="eastAsia" w:ascii="宋体" w:eastAsia="宋体"/>
        <w:b w:val="0"/>
        <w:i w:val="0"/>
        <w:sz w:val="24"/>
      </w:rPr>
    </w:lvl>
    <w:lvl w:ilvl="2" w:tentative="0">
      <w:start w:val="1"/>
      <w:numFmt w:val="decimal"/>
      <w:lvlText w:val="%1.%2.%3"/>
      <w:lvlJc w:val="left"/>
      <w:pPr>
        <w:tabs>
          <w:tab w:val="left" w:pos="992"/>
        </w:tabs>
        <w:ind w:left="992" w:hanging="992"/>
      </w:pPr>
      <w:rPr>
        <w:rFonts w:hint="eastAsia" w:ascii="宋体" w:eastAsia="宋体"/>
        <w:b w:val="0"/>
        <w:i w:val="0"/>
        <w:sz w:val="24"/>
      </w:rPr>
    </w:lvl>
    <w:lvl w:ilvl="3" w:tentative="0">
      <w:start w:val="1"/>
      <w:numFmt w:val="decimal"/>
      <w:pStyle w:val="1278"/>
      <w:lvlText w:val="%4)"/>
      <w:lvlJc w:val="left"/>
      <w:pPr>
        <w:tabs>
          <w:tab w:val="left" w:pos="420"/>
        </w:tabs>
        <w:ind w:left="420" w:hanging="420"/>
      </w:pPr>
      <w:rPr>
        <w:rFonts w:hint="eastAsia"/>
        <w:b/>
        <w:i w:val="0"/>
        <w:sz w:val="24"/>
      </w:rPr>
    </w:lvl>
    <w:lvl w:ilvl="4" w:tentative="0">
      <w:start w:val="1"/>
      <w:numFmt w:val="decimal"/>
      <w:lvlText w:val="%1.%2.%3.%4.%5"/>
      <w:lvlJc w:val="left"/>
      <w:pPr>
        <w:tabs>
          <w:tab w:val="left" w:pos="1134"/>
        </w:tabs>
        <w:ind w:left="1134" w:hanging="1134"/>
      </w:pPr>
      <w:rPr>
        <w:rFonts w:hint="eastAsia" w:ascii="宋体" w:eastAsia="宋体"/>
        <w:b w:val="0"/>
        <w:i w:val="0"/>
        <w:sz w:val="24"/>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7">
    <w:nsid w:val="302B20CC"/>
    <w:multiLevelType w:val="multilevel"/>
    <w:tmpl w:val="302B20CC"/>
    <w:lvl w:ilvl="0" w:tentative="0">
      <w:start w:val="1"/>
      <w:numFmt w:val="decimal"/>
      <w:lvlText w:val="（%1）"/>
      <w:lvlJc w:val="left"/>
      <w:pPr>
        <w:ind w:left="1129" w:hanging="420"/>
      </w:pPr>
      <w:rPr>
        <w:rFonts w:hint="eastAsia"/>
      </w:rPr>
    </w:lvl>
    <w:lvl w:ilvl="1" w:tentative="0">
      <w:start w:val="1"/>
      <w:numFmt w:val="bullet"/>
      <w:lvlText w:val=""/>
      <w:lvlJc w:val="left"/>
      <w:pPr>
        <w:ind w:left="1549" w:hanging="420"/>
      </w:pPr>
      <w:rPr>
        <w:rFonts w:hint="default" w:ascii="Wingdings" w:hAnsi="Wingdings"/>
      </w:rPr>
    </w:lvl>
    <w:lvl w:ilvl="2" w:tentative="0">
      <w:start w:val="1"/>
      <w:numFmt w:val="bullet"/>
      <w:lvlText w:val=""/>
      <w:lvlJc w:val="left"/>
      <w:pPr>
        <w:ind w:left="1969" w:hanging="420"/>
      </w:pPr>
      <w:rPr>
        <w:rFonts w:hint="default" w:ascii="Wingdings" w:hAnsi="Wingdings"/>
      </w:rPr>
    </w:lvl>
    <w:lvl w:ilvl="3" w:tentative="0">
      <w:start w:val="1"/>
      <w:numFmt w:val="bullet"/>
      <w:lvlText w:val=""/>
      <w:lvlJc w:val="left"/>
      <w:pPr>
        <w:ind w:left="2389" w:hanging="420"/>
      </w:pPr>
      <w:rPr>
        <w:rFonts w:hint="default" w:ascii="Wingdings" w:hAnsi="Wingdings"/>
      </w:rPr>
    </w:lvl>
    <w:lvl w:ilvl="4" w:tentative="0">
      <w:start w:val="1"/>
      <w:numFmt w:val="bullet"/>
      <w:lvlText w:val=""/>
      <w:lvlJc w:val="left"/>
      <w:pPr>
        <w:ind w:left="2809" w:hanging="420"/>
      </w:pPr>
      <w:rPr>
        <w:rFonts w:hint="default" w:ascii="Wingdings" w:hAnsi="Wingdings"/>
      </w:rPr>
    </w:lvl>
    <w:lvl w:ilvl="5" w:tentative="0">
      <w:start w:val="1"/>
      <w:numFmt w:val="bullet"/>
      <w:lvlText w:val=""/>
      <w:lvlJc w:val="left"/>
      <w:pPr>
        <w:ind w:left="3229" w:hanging="420"/>
      </w:pPr>
      <w:rPr>
        <w:rFonts w:hint="default" w:ascii="Wingdings" w:hAnsi="Wingdings"/>
      </w:rPr>
    </w:lvl>
    <w:lvl w:ilvl="6" w:tentative="0">
      <w:start w:val="1"/>
      <w:numFmt w:val="bullet"/>
      <w:lvlText w:val=""/>
      <w:lvlJc w:val="left"/>
      <w:pPr>
        <w:ind w:left="3649" w:hanging="420"/>
      </w:pPr>
      <w:rPr>
        <w:rFonts w:hint="default" w:ascii="Wingdings" w:hAnsi="Wingdings"/>
      </w:rPr>
    </w:lvl>
    <w:lvl w:ilvl="7" w:tentative="0">
      <w:start w:val="1"/>
      <w:numFmt w:val="bullet"/>
      <w:lvlText w:val=""/>
      <w:lvlJc w:val="left"/>
      <w:pPr>
        <w:ind w:left="4069" w:hanging="420"/>
      </w:pPr>
      <w:rPr>
        <w:rFonts w:hint="default" w:ascii="Wingdings" w:hAnsi="Wingdings"/>
      </w:rPr>
    </w:lvl>
    <w:lvl w:ilvl="8" w:tentative="0">
      <w:start w:val="1"/>
      <w:numFmt w:val="bullet"/>
      <w:lvlText w:val=""/>
      <w:lvlJc w:val="left"/>
      <w:pPr>
        <w:ind w:left="4489" w:hanging="420"/>
      </w:pPr>
      <w:rPr>
        <w:rFonts w:hint="default" w:ascii="Wingdings" w:hAnsi="Wingdings"/>
      </w:rPr>
    </w:lvl>
  </w:abstractNum>
  <w:abstractNum w:abstractNumId="18">
    <w:nsid w:val="306F432D"/>
    <w:multiLevelType w:val="multilevel"/>
    <w:tmpl w:val="306F432D"/>
    <w:lvl w:ilvl="0" w:tentative="0">
      <w:start w:val="1"/>
      <w:numFmt w:val="decimal"/>
      <w:pStyle w:val="1166"/>
      <w:lvlText w:val="图6-%1"/>
      <w:lvlJc w:val="left"/>
      <w:pPr>
        <w:tabs>
          <w:tab w:val="left" w:pos="1530"/>
        </w:tabs>
        <w:ind w:left="1530" w:firstLine="0"/>
      </w:pPr>
      <w:rPr>
        <w:rFonts w:hint="default"/>
      </w:rPr>
    </w:lvl>
    <w:lvl w:ilvl="1" w:tentative="0">
      <w:start w:val="1"/>
      <w:numFmt w:val="none"/>
      <w:suff w:val="nothing"/>
      <w:lvlText w:val=""/>
      <w:lvlJc w:val="left"/>
      <w:pPr>
        <w:ind w:left="728" w:firstLine="0"/>
      </w:pPr>
      <w:rPr>
        <w:rFonts w:hint="default"/>
      </w:rPr>
    </w:lvl>
    <w:lvl w:ilvl="2" w:tentative="0">
      <w:start w:val="1"/>
      <w:numFmt w:val="none"/>
      <w:suff w:val="nothing"/>
      <w:lvlText w:val=""/>
      <w:lvlJc w:val="left"/>
      <w:pPr>
        <w:ind w:left="728" w:firstLine="0"/>
      </w:pPr>
      <w:rPr>
        <w:rFonts w:hint="default"/>
      </w:rPr>
    </w:lvl>
    <w:lvl w:ilvl="3" w:tentative="0">
      <w:start w:val="1"/>
      <w:numFmt w:val="none"/>
      <w:suff w:val="nothing"/>
      <w:lvlText w:val=""/>
      <w:lvlJc w:val="left"/>
      <w:pPr>
        <w:ind w:left="728" w:firstLine="0"/>
      </w:pPr>
      <w:rPr>
        <w:rFonts w:hint="default"/>
      </w:rPr>
    </w:lvl>
    <w:lvl w:ilvl="4" w:tentative="0">
      <w:start w:val="1"/>
      <w:numFmt w:val="none"/>
      <w:suff w:val="nothing"/>
      <w:lvlText w:val=""/>
      <w:lvlJc w:val="left"/>
      <w:pPr>
        <w:ind w:left="728" w:firstLine="0"/>
      </w:pPr>
      <w:rPr>
        <w:rFonts w:hint="default"/>
      </w:rPr>
    </w:lvl>
    <w:lvl w:ilvl="5" w:tentative="0">
      <w:start w:val="1"/>
      <w:numFmt w:val="none"/>
      <w:suff w:val="nothing"/>
      <w:lvlText w:val=""/>
      <w:lvlJc w:val="left"/>
      <w:pPr>
        <w:ind w:left="728" w:firstLine="0"/>
      </w:pPr>
      <w:rPr>
        <w:rFonts w:hint="default"/>
      </w:rPr>
    </w:lvl>
    <w:lvl w:ilvl="6" w:tentative="0">
      <w:start w:val="1"/>
      <w:numFmt w:val="none"/>
      <w:suff w:val="nothing"/>
      <w:lvlText w:val=""/>
      <w:lvlJc w:val="left"/>
      <w:pPr>
        <w:ind w:left="728" w:firstLine="0"/>
      </w:pPr>
      <w:rPr>
        <w:rFonts w:hint="default"/>
      </w:rPr>
    </w:lvl>
    <w:lvl w:ilvl="7" w:tentative="0">
      <w:start w:val="1"/>
      <w:numFmt w:val="none"/>
      <w:suff w:val="nothing"/>
      <w:lvlText w:val=""/>
      <w:lvlJc w:val="left"/>
      <w:pPr>
        <w:ind w:left="728" w:firstLine="0"/>
      </w:pPr>
      <w:rPr>
        <w:rFonts w:hint="default"/>
      </w:rPr>
    </w:lvl>
    <w:lvl w:ilvl="8" w:tentative="0">
      <w:start w:val="1"/>
      <w:numFmt w:val="none"/>
      <w:suff w:val="nothing"/>
      <w:lvlText w:val=""/>
      <w:lvlJc w:val="left"/>
      <w:pPr>
        <w:ind w:left="728" w:firstLine="0"/>
      </w:pPr>
      <w:rPr>
        <w:rFonts w:hint="default"/>
      </w:rPr>
    </w:lvl>
  </w:abstractNum>
  <w:abstractNum w:abstractNumId="19">
    <w:nsid w:val="30C10610"/>
    <w:multiLevelType w:val="multilevel"/>
    <w:tmpl w:val="30C10610"/>
    <w:lvl w:ilvl="0" w:tentative="0">
      <w:start w:val="2"/>
      <w:numFmt w:val="decimal"/>
      <w:lvlText w:val="%1"/>
      <w:lvlJc w:val="left"/>
      <w:pPr>
        <w:tabs>
          <w:tab w:val="left" w:pos="567"/>
        </w:tabs>
        <w:ind w:left="567" w:hanging="567"/>
      </w:pPr>
      <w:rPr>
        <w:rFonts w:hint="eastAsia"/>
      </w:rPr>
    </w:lvl>
    <w:lvl w:ilvl="1" w:tentative="0">
      <w:start w:val="1"/>
      <w:numFmt w:val="decimal"/>
      <w:lvlText w:val="%1.%2"/>
      <w:lvlJc w:val="left"/>
      <w:pPr>
        <w:tabs>
          <w:tab w:val="left" w:pos="576"/>
        </w:tabs>
        <w:ind w:left="567" w:hanging="454"/>
      </w:pPr>
      <w:rPr>
        <w:rFonts w:hint="eastAsia"/>
      </w:rPr>
    </w:lvl>
    <w:lvl w:ilvl="2" w:tentative="0">
      <w:start w:val="1"/>
      <w:numFmt w:val="decimal"/>
      <w:lvlText w:val="%1.%2.%3"/>
      <w:lvlJc w:val="left"/>
      <w:pPr>
        <w:tabs>
          <w:tab w:val="left" w:pos="2689"/>
        </w:tabs>
        <w:ind w:left="567" w:hanging="340"/>
      </w:pPr>
      <w:rPr>
        <w:rFonts w:hint="eastAsia" w:hAnsi="Times New Roman"/>
        <w:b w:val="0"/>
        <w:i w:val="0"/>
        <w:caps w:val="0"/>
        <w:smallCaps w:val="0"/>
        <w:strike w:val="0"/>
        <w:dstrike w:val="0"/>
        <w:outline w:val="0"/>
        <w:shadow w:val="0"/>
        <w:emboss w:val="0"/>
        <w:imprint w:val="0"/>
        <w:vanish w:val="0"/>
        <w:color w:val="000000"/>
        <w:spacing w:val="0"/>
        <w:position w:val="0"/>
        <w:u w:val="none"/>
        <w:vertAlign w:val="baseline"/>
      </w:rPr>
    </w:lvl>
    <w:lvl w:ilvl="3" w:tentative="0">
      <w:start w:val="1"/>
      <w:numFmt w:val="decimal"/>
      <w:lvlRestart w:val="1"/>
      <w:pStyle w:val="6"/>
      <w:lvlText w:val="%1.%2.%3.%4"/>
      <w:lvlJc w:val="left"/>
      <w:pPr>
        <w:tabs>
          <w:tab w:val="left" w:pos="340"/>
        </w:tabs>
        <w:ind w:left="567" w:hanging="227"/>
      </w:pPr>
      <w:rPr>
        <w:rFonts w:hint="eastAsia"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20">
    <w:nsid w:val="31F40D7F"/>
    <w:multiLevelType w:val="multilevel"/>
    <w:tmpl w:val="31F40D7F"/>
    <w:lvl w:ilvl="0" w:tentative="0">
      <w:start w:val="1"/>
      <w:numFmt w:val="bullet"/>
      <w:pStyle w:val="1154"/>
      <w:lvlText w:val=""/>
      <w:lvlJc w:val="left"/>
      <w:pPr>
        <w:tabs>
          <w:tab w:val="left" w:pos="0"/>
        </w:tabs>
        <w:ind w:left="0" w:hanging="360"/>
      </w:pPr>
      <w:rPr>
        <w:rFonts w:hint="default" w:ascii="Wingdings" w:hAnsi="Wingdings"/>
      </w:rPr>
    </w:lvl>
    <w:lvl w:ilvl="1" w:tentative="0">
      <w:start w:val="1"/>
      <w:numFmt w:val="bullet"/>
      <w:lvlText w:val=""/>
      <w:lvlJc w:val="left"/>
      <w:pPr>
        <w:tabs>
          <w:tab w:val="left" w:pos="480"/>
        </w:tabs>
        <w:ind w:left="480" w:hanging="420"/>
      </w:pPr>
      <w:rPr>
        <w:rFonts w:hint="default" w:ascii="Wingdings" w:hAnsi="Wingdings"/>
      </w:rPr>
    </w:lvl>
    <w:lvl w:ilvl="2" w:tentative="0">
      <w:start w:val="1"/>
      <w:numFmt w:val="bullet"/>
      <w:lvlText w:val=""/>
      <w:lvlJc w:val="left"/>
      <w:pPr>
        <w:tabs>
          <w:tab w:val="left" w:pos="900"/>
        </w:tabs>
        <w:ind w:left="900" w:hanging="420"/>
      </w:pPr>
      <w:rPr>
        <w:rFonts w:hint="default" w:ascii="Wingdings" w:hAnsi="Wingdings"/>
      </w:rPr>
    </w:lvl>
    <w:lvl w:ilvl="3" w:tentative="0">
      <w:start w:val="1"/>
      <w:numFmt w:val="bullet"/>
      <w:lvlText w:val=""/>
      <w:lvlJc w:val="left"/>
      <w:pPr>
        <w:tabs>
          <w:tab w:val="left" w:pos="1320"/>
        </w:tabs>
        <w:ind w:left="1320" w:hanging="420"/>
      </w:pPr>
      <w:rPr>
        <w:rFonts w:hint="default" w:ascii="Wingdings" w:hAnsi="Wingdings"/>
      </w:rPr>
    </w:lvl>
    <w:lvl w:ilvl="4" w:tentative="0">
      <w:start w:val="1"/>
      <w:numFmt w:val="bullet"/>
      <w:lvlText w:val=""/>
      <w:lvlJc w:val="left"/>
      <w:pPr>
        <w:tabs>
          <w:tab w:val="left" w:pos="1740"/>
        </w:tabs>
        <w:ind w:left="1740" w:hanging="420"/>
      </w:pPr>
      <w:rPr>
        <w:rFonts w:hint="default" w:ascii="Wingdings" w:hAnsi="Wingdings"/>
      </w:rPr>
    </w:lvl>
    <w:lvl w:ilvl="5" w:tentative="0">
      <w:start w:val="1"/>
      <w:numFmt w:val="bullet"/>
      <w:lvlText w:val=""/>
      <w:lvlJc w:val="left"/>
      <w:pPr>
        <w:tabs>
          <w:tab w:val="left" w:pos="2160"/>
        </w:tabs>
        <w:ind w:left="2160" w:hanging="420"/>
      </w:pPr>
      <w:rPr>
        <w:rFonts w:hint="default" w:ascii="Wingdings" w:hAnsi="Wingdings"/>
      </w:rPr>
    </w:lvl>
    <w:lvl w:ilvl="6" w:tentative="0">
      <w:start w:val="1"/>
      <w:numFmt w:val="bullet"/>
      <w:lvlText w:val=""/>
      <w:lvlJc w:val="left"/>
      <w:pPr>
        <w:tabs>
          <w:tab w:val="left" w:pos="2580"/>
        </w:tabs>
        <w:ind w:left="2580" w:hanging="420"/>
      </w:pPr>
      <w:rPr>
        <w:rFonts w:hint="default" w:ascii="Wingdings" w:hAnsi="Wingdings"/>
      </w:rPr>
    </w:lvl>
    <w:lvl w:ilvl="7" w:tentative="0">
      <w:start w:val="1"/>
      <w:numFmt w:val="bullet"/>
      <w:lvlText w:val=""/>
      <w:lvlJc w:val="left"/>
      <w:pPr>
        <w:tabs>
          <w:tab w:val="left" w:pos="3000"/>
        </w:tabs>
        <w:ind w:left="3000" w:hanging="420"/>
      </w:pPr>
      <w:rPr>
        <w:rFonts w:hint="default" w:ascii="Wingdings" w:hAnsi="Wingdings"/>
      </w:rPr>
    </w:lvl>
    <w:lvl w:ilvl="8" w:tentative="0">
      <w:start w:val="1"/>
      <w:numFmt w:val="bullet"/>
      <w:lvlText w:val=""/>
      <w:lvlJc w:val="left"/>
      <w:pPr>
        <w:tabs>
          <w:tab w:val="left" w:pos="3420"/>
        </w:tabs>
        <w:ind w:left="3420" w:hanging="420"/>
      </w:pPr>
      <w:rPr>
        <w:rFonts w:hint="default" w:ascii="Wingdings" w:hAnsi="Wingdings"/>
      </w:rPr>
    </w:lvl>
  </w:abstractNum>
  <w:abstractNum w:abstractNumId="21">
    <w:nsid w:val="397C1878"/>
    <w:multiLevelType w:val="multilevel"/>
    <w:tmpl w:val="397C1878"/>
    <w:lvl w:ilvl="0" w:tentative="0">
      <w:start w:val="1"/>
      <w:numFmt w:val="bullet"/>
      <w:pStyle w:val="128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2">
    <w:nsid w:val="3DA51760"/>
    <w:multiLevelType w:val="multilevel"/>
    <w:tmpl w:val="3DA51760"/>
    <w:lvl w:ilvl="0" w:tentative="0">
      <w:start w:val="1"/>
      <w:numFmt w:val="decimal"/>
      <w:lvlText w:val="%1."/>
      <w:lvlJc w:val="left"/>
      <w:pPr>
        <w:ind w:left="1128" w:hanging="420"/>
      </w:pPr>
    </w:lvl>
    <w:lvl w:ilvl="1" w:tentative="0">
      <w:start w:val="1"/>
      <w:numFmt w:val="lowerLetter"/>
      <w:lvlText w:val="%2)"/>
      <w:lvlJc w:val="left"/>
      <w:pPr>
        <w:ind w:left="1548" w:hanging="420"/>
      </w:pPr>
    </w:lvl>
    <w:lvl w:ilvl="2" w:tentative="0">
      <w:start w:val="1"/>
      <w:numFmt w:val="lowerRoman"/>
      <w:lvlText w:val="%3."/>
      <w:lvlJc w:val="right"/>
      <w:pPr>
        <w:ind w:left="1968" w:hanging="420"/>
      </w:pPr>
    </w:lvl>
    <w:lvl w:ilvl="3" w:tentative="0">
      <w:start w:val="1"/>
      <w:numFmt w:val="decimal"/>
      <w:lvlText w:val="%4."/>
      <w:lvlJc w:val="left"/>
      <w:pPr>
        <w:ind w:left="2388" w:hanging="420"/>
      </w:pPr>
    </w:lvl>
    <w:lvl w:ilvl="4" w:tentative="0">
      <w:start w:val="1"/>
      <w:numFmt w:val="lowerLetter"/>
      <w:lvlText w:val="%5)"/>
      <w:lvlJc w:val="left"/>
      <w:pPr>
        <w:ind w:left="2808" w:hanging="420"/>
      </w:pPr>
    </w:lvl>
    <w:lvl w:ilvl="5" w:tentative="0">
      <w:start w:val="1"/>
      <w:numFmt w:val="lowerRoman"/>
      <w:lvlText w:val="%6."/>
      <w:lvlJc w:val="right"/>
      <w:pPr>
        <w:ind w:left="3228" w:hanging="420"/>
      </w:pPr>
    </w:lvl>
    <w:lvl w:ilvl="6" w:tentative="0">
      <w:start w:val="1"/>
      <w:numFmt w:val="decimal"/>
      <w:lvlText w:val="%7."/>
      <w:lvlJc w:val="left"/>
      <w:pPr>
        <w:ind w:left="3648" w:hanging="420"/>
      </w:pPr>
    </w:lvl>
    <w:lvl w:ilvl="7" w:tentative="0">
      <w:start w:val="1"/>
      <w:numFmt w:val="lowerLetter"/>
      <w:lvlText w:val="%8)"/>
      <w:lvlJc w:val="left"/>
      <w:pPr>
        <w:ind w:left="4068" w:hanging="420"/>
      </w:pPr>
    </w:lvl>
    <w:lvl w:ilvl="8" w:tentative="0">
      <w:start w:val="1"/>
      <w:numFmt w:val="lowerRoman"/>
      <w:lvlText w:val="%9."/>
      <w:lvlJc w:val="right"/>
      <w:pPr>
        <w:ind w:left="4488" w:hanging="420"/>
      </w:pPr>
    </w:lvl>
  </w:abstractNum>
  <w:abstractNum w:abstractNumId="23">
    <w:nsid w:val="425906E5"/>
    <w:multiLevelType w:val="multilevel"/>
    <w:tmpl w:val="425906E5"/>
    <w:lvl w:ilvl="0" w:tentative="0">
      <w:start w:val="1"/>
      <w:numFmt w:val="bullet"/>
      <w:lvlText w:val=""/>
      <w:lvlJc w:val="left"/>
      <w:pPr>
        <w:tabs>
          <w:tab w:val="left" w:pos="1380"/>
        </w:tabs>
        <w:ind w:left="1380" w:hanging="420"/>
      </w:pPr>
      <w:rPr>
        <w:rFonts w:hint="default" w:ascii="Wingdings" w:hAnsi="Wingdings"/>
      </w:rPr>
    </w:lvl>
    <w:lvl w:ilvl="1" w:tentative="0">
      <w:start w:val="1"/>
      <w:numFmt w:val="bullet"/>
      <w:lvlText w:val=""/>
      <w:lvlJc w:val="left"/>
      <w:pPr>
        <w:tabs>
          <w:tab w:val="left" w:pos="1800"/>
        </w:tabs>
        <w:ind w:left="1800" w:hanging="420"/>
      </w:pPr>
      <w:rPr>
        <w:rFonts w:hint="default" w:ascii="Wingdings" w:hAnsi="Wingdings"/>
      </w:rPr>
    </w:lvl>
    <w:lvl w:ilvl="2" w:tentative="0">
      <w:start w:val="1"/>
      <w:numFmt w:val="bullet"/>
      <w:lvlText w:val=""/>
      <w:lvlJc w:val="left"/>
      <w:pPr>
        <w:tabs>
          <w:tab w:val="left" w:pos="2220"/>
        </w:tabs>
        <w:ind w:left="2220" w:hanging="420"/>
      </w:pPr>
      <w:rPr>
        <w:rFonts w:hint="default" w:ascii="Wingdings" w:hAnsi="Wingdings"/>
      </w:rPr>
    </w:lvl>
    <w:lvl w:ilvl="3" w:tentative="0">
      <w:start w:val="1"/>
      <w:numFmt w:val="bullet"/>
      <w:lvlText w:val=""/>
      <w:lvlJc w:val="left"/>
      <w:pPr>
        <w:tabs>
          <w:tab w:val="left" w:pos="2640"/>
        </w:tabs>
        <w:ind w:left="2640" w:hanging="420"/>
      </w:pPr>
      <w:rPr>
        <w:rFonts w:hint="default" w:ascii="Wingdings" w:hAnsi="Wingdings"/>
      </w:rPr>
    </w:lvl>
    <w:lvl w:ilvl="4" w:tentative="0">
      <w:start w:val="1"/>
      <w:numFmt w:val="bullet"/>
      <w:lvlText w:val=""/>
      <w:lvlJc w:val="left"/>
      <w:pPr>
        <w:tabs>
          <w:tab w:val="left" w:pos="3060"/>
        </w:tabs>
        <w:ind w:left="3060" w:hanging="420"/>
      </w:pPr>
      <w:rPr>
        <w:rFonts w:hint="default" w:ascii="Wingdings" w:hAnsi="Wingdings"/>
      </w:rPr>
    </w:lvl>
    <w:lvl w:ilvl="5" w:tentative="0">
      <w:start w:val="1"/>
      <w:numFmt w:val="bullet"/>
      <w:lvlText w:val=""/>
      <w:lvlJc w:val="left"/>
      <w:pPr>
        <w:tabs>
          <w:tab w:val="left" w:pos="3480"/>
        </w:tabs>
        <w:ind w:left="3480" w:hanging="420"/>
      </w:pPr>
      <w:rPr>
        <w:rFonts w:hint="default" w:ascii="Wingdings" w:hAnsi="Wingdings"/>
      </w:rPr>
    </w:lvl>
    <w:lvl w:ilvl="6" w:tentative="0">
      <w:start w:val="1"/>
      <w:numFmt w:val="bullet"/>
      <w:lvlText w:val=""/>
      <w:lvlJc w:val="left"/>
      <w:pPr>
        <w:tabs>
          <w:tab w:val="left" w:pos="3900"/>
        </w:tabs>
        <w:ind w:left="3900" w:hanging="420"/>
      </w:pPr>
      <w:rPr>
        <w:rFonts w:hint="default" w:ascii="Wingdings" w:hAnsi="Wingdings"/>
      </w:rPr>
    </w:lvl>
    <w:lvl w:ilvl="7" w:tentative="0">
      <w:start w:val="1"/>
      <w:numFmt w:val="bullet"/>
      <w:lvlText w:val=""/>
      <w:lvlJc w:val="left"/>
      <w:pPr>
        <w:tabs>
          <w:tab w:val="left" w:pos="4320"/>
        </w:tabs>
        <w:ind w:left="4320" w:hanging="420"/>
      </w:pPr>
      <w:rPr>
        <w:rFonts w:hint="default" w:ascii="Wingdings" w:hAnsi="Wingdings"/>
      </w:rPr>
    </w:lvl>
    <w:lvl w:ilvl="8" w:tentative="0">
      <w:start w:val="1"/>
      <w:numFmt w:val="bullet"/>
      <w:lvlText w:val=""/>
      <w:lvlJc w:val="left"/>
      <w:pPr>
        <w:tabs>
          <w:tab w:val="left" w:pos="4740"/>
        </w:tabs>
        <w:ind w:left="4740" w:hanging="420"/>
      </w:pPr>
      <w:rPr>
        <w:rFonts w:hint="default" w:ascii="Wingdings" w:hAnsi="Wingdings"/>
      </w:rPr>
    </w:lvl>
  </w:abstractNum>
  <w:abstractNum w:abstractNumId="24">
    <w:nsid w:val="44121AA6"/>
    <w:multiLevelType w:val="multilevel"/>
    <w:tmpl w:val="44121AA6"/>
    <w:lvl w:ilvl="0" w:tentative="0">
      <w:start w:val="1"/>
      <w:numFmt w:val="decimal"/>
      <w:pStyle w:val="1279"/>
      <w:lvlText w:val="(%1)"/>
      <w:lvlJc w:val="left"/>
      <w:pPr>
        <w:tabs>
          <w:tab w:val="left" w:pos="397"/>
        </w:tabs>
        <w:ind w:left="397" w:hanging="397"/>
      </w:pPr>
      <w:rPr>
        <w:rFonts w:hint="default" w:ascii="Arial" w:hAnsi="Arial" w:eastAsia="宋体"/>
        <w:b w:val="0"/>
        <w:i w:val="0"/>
        <w:color w:val="auto"/>
        <w:sz w:val="18"/>
        <w:szCs w:val="1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5">
    <w:nsid w:val="46E9201E"/>
    <w:multiLevelType w:val="multilevel"/>
    <w:tmpl w:val="46E9201E"/>
    <w:lvl w:ilvl="0" w:tentative="0">
      <w:start w:val="1"/>
      <w:numFmt w:val="decimal"/>
      <w:lvlText w:val="%1"/>
      <w:lvlJc w:val="left"/>
      <w:pPr>
        <w:tabs>
          <w:tab w:val="left" w:pos="1152"/>
        </w:tabs>
        <w:ind w:left="1152" w:hanging="1152"/>
      </w:pPr>
      <w:rPr>
        <w:rFonts w:hint="default" w:ascii="Arial" w:hAnsi="Arial"/>
        <w:b/>
        <w:i w:val="0"/>
        <w:sz w:val="24"/>
      </w:rPr>
    </w:lvl>
    <w:lvl w:ilvl="1" w:tentative="0">
      <w:start w:val="1"/>
      <w:numFmt w:val="decimal"/>
      <w:lvlText w:val="%1.%2"/>
      <w:lvlJc w:val="left"/>
      <w:pPr>
        <w:tabs>
          <w:tab w:val="left" w:pos="1152"/>
        </w:tabs>
        <w:ind w:left="1152" w:hanging="1152"/>
      </w:pPr>
      <w:rPr>
        <w:rFonts w:hint="default" w:ascii="Arial" w:hAnsi="Arial"/>
        <w:b w:val="0"/>
        <w:i w:val="0"/>
        <w:sz w:val="24"/>
      </w:rPr>
    </w:lvl>
    <w:lvl w:ilvl="2" w:tentative="0">
      <w:start w:val="1"/>
      <w:numFmt w:val="decimal"/>
      <w:lvlText w:val="%1.%2.%3"/>
      <w:lvlJc w:val="left"/>
      <w:pPr>
        <w:tabs>
          <w:tab w:val="left" w:pos="1152"/>
        </w:tabs>
        <w:ind w:left="1152" w:hanging="1152"/>
      </w:pPr>
      <w:rPr>
        <w:rFonts w:hint="default" w:ascii="Arial" w:hAnsi="Arial"/>
        <w:b w:val="0"/>
        <w:i w:val="0"/>
        <w:sz w:val="24"/>
      </w:rPr>
    </w:lvl>
    <w:lvl w:ilvl="3" w:tentative="0">
      <w:start w:val="1"/>
      <w:numFmt w:val="lowerLetter"/>
      <w:pStyle w:val="582"/>
      <w:lvlText w:val="%4)"/>
      <w:lvlJc w:val="left"/>
      <w:pPr>
        <w:tabs>
          <w:tab w:val="left" w:pos="2160"/>
        </w:tabs>
        <w:ind w:left="2160" w:hanging="1008"/>
      </w:pPr>
      <w:rPr>
        <w:rFonts w:hint="default" w:ascii="Arial" w:hAnsi="Arial"/>
        <w:b w:val="0"/>
        <w:i w:val="0"/>
        <w:sz w:val="24"/>
      </w:rPr>
    </w:lvl>
    <w:lvl w:ilvl="4" w:tentative="0">
      <w:start w:val="1"/>
      <w:numFmt w:val="decimal"/>
      <w:lvlText w:val="%1.%2.%3.%4.%5"/>
      <w:lvlJc w:val="left"/>
      <w:pPr>
        <w:tabs>
          <w:tab w:val="left" w:pos="1152"/>
        </w:tabs>
        <w:ind w:left="1152" w:hanging="1152"/>
      </w:pPr>
      <w:rPr>
        <w:rFonts w:hint="default" w:ascii="Arial" w:hAnsi="Arial"/>
        <w:b w:val="0"/>
        <w:i w:val="0"/>
        <w:sz w:val="24"/>
      </w:rPr>
    </w:lvl>
    <w:lvl w:ilvl="5" w:tentative="0">
      <w:start w:val="1"/>
      <w:numFmt w:val="decimal"/>
      <w:lvlText w:val="%6)"/>
      <w:lvlJc w:val="left"/>
      <w:pPr>
        <w:tabs>
          <w:tab w:val="left" w:pos="1728"/>
        </w:tabs>
        <w:ind w:left="1728" w:hanging="576"/>
      </w:pPr>
      <w:rPr>
        <w:rFonts w:hint="default" w:ascii="Arial" w:hAnsi="Arial"/>
        <w:b w:val="0"/>
        <w:i w:val="0"/>
        <w:sz w:val="24"/>
      </w:rPr>
    </w:lvl>
    <w:lvl w:ilvl="6" w:tentative="0">
      <w:start w:val="1"/>
      <w:numFmt w:val="lowerLetter"/>
      <w:lvlText w:val="%7)"/>
      <w:lvlJc w:val="left"/>
      <w:pPr>
        <w:tabs>
          <w:tab w:val="left" w:pos="2304"/>
        </w:tabs>
        <w:ind w:left="2304" w:hanging="576"/>
      </w:pPr>
      <w:rPr>
        <w:rFonts w:hint="default" w:ascii="Arial" w:hAnsi="Arial"/>
        <w:b w:val="0"/>
        <w:i w:val="0"/>
        <w:sz w:val="24"/>
      </w:rPr>
    </w:lvl>
    <w:lvl w:ilvl="7" w:tentative="0">
      <w:start w:val="1"/>
      <w:numFmt w:val="lowerRoman"/>
      <w:lvlText w:val="%8)"/>
      <w:lvlJc w:val="left"/>
      <w:pPr>
        <w:tabs>
          <w:tab w:val="left" w:pos="2880"/>
        </w:tabs>
        <w:ind w:left="2880" w:hanging="576"/>
      </w:pPr>
      <w:rPr>
        <w:rFonts w:hint="default" w:ascii="Arial" w:hAnsi="Arial"/>
        <w:b w:val="0"/>
        <w:i w:val="0"/>
        <w:sz w:val="24"/>
      </w:rPr>
    </w:lvl>
    <w:lvl w:ilvl="8" w:tentative="0">
      <w:start w:val="1"/>
      <w:numFmt w:val="decimal"/>
      <w:lvlText w:val="%7.%8.%9."/>
      <w:lvlJc w:val="left"/>
      <w:pPr>
        <w:tabs>
          <w:tab w:val="left" w:pos="0"/>
        </w:tabs>
        <w:ind w:left="6372" w:hanging="708"/>
      </w:pPr>
      <w:rPr>
        <w:rFonts w:hint="eastAsia"/>
      </w:rPr>
    </w:lvl>
  </w:abstractNum>
  <w:abstractNum w:abstractNumId="26">
    <w:nsid w:val="486058C1"/>
    <w:multiLevelType w:val="multilevel"/>
    <w:tmpl w:val="486058C1"/>
    <w:lvl w:ilvl="0" w:tentative="0">
      <w:start w:val="1"/>
      <w:numFmt w:val="decimal"/>
      <w:pStyle w:val="1055"/>
      <w:lvlText w:val="%1."/>
      <w:lvlJc w:val="left"/>
      <w:pPr>
        <w:tabs>
          <w:tab w:val="left" w:pos="907"/>
        </w:tabs>
        <w:ind w:left="0" w:firstLine="547"/>
      </w:pPr>
      <w:rPr>
        <w:rFonts w:hint="eastAsia"/>
      </w:rPr>
    </w:lvl>
    <w:lvl w:ilvl="1" w:tentative="0">
      <w:start w:val="1"/>
      <w:numFmt w:val="lowerLetter"/>
      <w:lvlText w:val="%2)"/>
      <w:lvlJc w:val="left"/>
      <w:pPr>
        <w:tabs>
          <w:tab w:val="left" w:pos="1387"/>
        </w:tabs>
        <w:ind w:left="1387" w:hanging="420"/>
      </w:pPr>
    </w:lvl>
    <w:lvl w:ilvl="2" w:tentative="0">
      <w:start w:val="1"/>
      <w:numFmt w:val="decimalEnclosedCircle"/>
      <w:lvlText w:val="%3"/>
      <w:lvlJc w:val="left"/>
      <w:pPr>
        <w:tabs>
          <w:tab w:val="left" w:pos="1747"/>
        </w:tabs>
        <w:ind w:left="1747" w:hanging="360"/>
      </w:pPr>
      <w:rPr>
        <w:rFonts w:hint="default"/>
      </w:rPr>
    </w:lvl>
    <w:lvl w:ilvl="3" w:tentative="0">
      <w:start w:val="1"/>
      <w:numFmt w:val="decimal"/>
      <w:lvlText w:val="%4."/>
      <w:lvlJc w:val="left"/>
      <w:pPr>
        <w:tabs>
          <w:tab w:val="left" w:pos="2227"/>
        </w:tabs>
        <w:ind w:left="2227" w:hanging="420"/>
      </w:pPr>
    </w:lvl>
    <w:lvl w:ilvl="4" w:tentative="0">
      <w:start w:val="1"/>
      <w:numFmt w:val="lowerLetter"/>
      <w:lvlText w:val="%5)"/>
      <w:lvlJc w:val="left"/>
      <w:pPr>
        <w:tabs>
          <w:tab w:val="left" w:pos="2647"/>
        </w:tabs>
        <w:ind w:left="2647" w:hanging="420"/>
      </w:pPr>
    </w:lvl>
    <w:lvl w:ilvl="5" w:tentative="0">
      <w:start w:val="1"/>
      <w:numFmt w:val="lowerRoman"/>
      <w:lvlText w:val="%6."/>
      <w:lvlJc w:val="right"/>
      <w:pPr>
        <w:tabs>
          <w:tab w:val="left" w:pos="3067"/>
        </w:tabs>
        <w:ind w:left="3067" w:hanging="420"/>
      </w:pPr>
    </w:lvl>
    <w:lvl w:ilvl="6" w:tentative="0">
      <w:start w:val="1"/>
      <w:numFmt w:val="decimal"/>
      <w:lvlText w:val="%7."/>
      <w:lvlJc w:val="left"/>
      <w:pPr>
        <w:tabs>
          <w:tab w:val="left" w:pos="3487"/>
        </w:tabs>
        <w:ind w:left="3487" w:hanging="420"/>
      </w:pPr>
    </w:lvl>
    <w:lvl w:ilvl="7" w:tentative="0">
      <w:start w:val="1"/>
      <w:numFmt w:val="lowerLetter"/>
      <w:lvlText w:val="%8)"/>
      <w:lvlJc w:val="left"/>
      <w:pPr>
        <w:tabs>
          <w:tab w:val="left" w:pos="3907"/>
        </w:tabs>
        <w:ind w:left="3907" w:hanging="420"/>
      </w:pPr>
    </w:lvl>
    <w:lvl w:ilvl="8" w:tentative="0">
      <w:start w:val="1"/>
      <w:numFmt w:val="lowerRoman"/>
      <w:lvlText w:val="%9."/>
      <w:lvlJc w:val="right"/>
      <w:pPr>
        <w:tabs>
          <w:tab w:val="left" w:pos="4327"/>
        </w:tabs>
        <w:ind w:left="4327" w:hanging="420"/>
      </w:pPr>
    </w:lvl>
  </w:abstractNum>
  <w:abstractNum w:abstractNumId="27">
    <w:nsid w:val="491F6253"/>
    <w:multiLevelType w:val="multilevel"/>
    <w:tmpl w:val="491F6253"/>
    <w:lvl w:ilvl="0" w:tentative="0">
      <w:start w:val="1"/>
      <w:numFmt w:val="bullet"/>
      <w:lvlText w:val=""/>
      <w:lvlJc w:val="left"/>
      <w:pPr>
        <w:ind w:left="1099" w:hanging="420"/>
      </w:pPr>
      <w:rPr>
        <w:rFonts w:hint="default" w:ascii="Wingdings" w:hAnsi="Wingdings"/>
      </w:rPr>
    </w:lvl>
    <w:lvl w:ilvl="1" w:tentative="0">
      <w:start w:val="1"/>
      <w:numFmt w:val="bullet"/>
      <w:lvlText w:val=""/>
      <w:lvlJc w:val="left"/>
      <w:pPr>
        <w:ind w:left="1519" w:hanging="420"/>
      </w:pPr>
      <w:rPr>
        <w:rFonts w:hint="default" w:ascii="Wingdings" w:hAnsi="Wingdings"/>
      </w:rPr>
    </w:lvl>
    <w:lvl w:ilvl="2" w:tentative="0">
      <w:start w:val="1"/>
      <w:numFmt w:val="bullet"/>
      <w:lvlText w:val=""/>
      <w:lvlJc w:val="left"/>
      <w:pPr>
        <w:ind w:left="1939" w:hanging="420"/>
      </w:pPr>
      <w:rPr>
        <w:rFonts w:hint="default" w:ascii="Wingdings" w:hAnsi="Wingdings"/>
      </w:rPr>
    </w:lvl>
    <w:lvl w:ilvl="3" w:tentative="0">
      <w:start w:val="1"/>
      <w:numFmt w:val="bullet"/>
      <w:lvlText w:val=""/>
      <w:lvlJc w:val="left"/>
      <w:pPr>
        <w:ind w:left="2359" w:hanging="420"/>
      </w:pPr>
      <w:rPr>
        <w:rFonts w:hint="default" w:ascii="Wingdings" w:hAnsi="Wingdings"/>
      </w:rPr>
    </w:lvl>
    <w:lvl w:ilvl="4" w:tentative="0">
      <w:start w:val="1"/>
      <w:numFmt w:val="bullet"/>
      <w:lvlText w:val=""/>
      <w:lvlJc w:val="left"/>
      <w:pPr>
        <w:ind w:left="2779" w:hanging="420"/>
      </w:pPr>
      <w:rPr>
        <w:rFonts w:hint="default" w:ascii="Wingdings" w:hAnsi="Wingdings"/>
      </w:rPr>
    </w:lvl>
    <w:lvl w:ilvl="5" w:tentative="0">
      <w:start w:val="1"/>
      <w:numFmt w:val="bullet"/>
      <w:lvlText w:val=""/>
      <w:lvlJc w:val="left"/>
      <w:pPr>
        <w:ind w:left="3199" w:hanging="420"/>
      </w:pPr>
      <w:rPr>
        <w:rFonts w:hint="default" w:ascii="Wingdings" w:hAnsi="Wingdings"/>
      </w:rPr>
    </w:lvl>
    <w:lvl w:ilvl="6" w:tentative="0">
      <w:start w:val="1"/>
      <w:numFmt w:val="bullet"/>
      <w:lvlText w:val=""/>
      <w:lvlJc w:val="left"/>
      <w:pPr>
        <w:ind w:left="3619" w:hanging="420"/>
      </w:pPr>
      <w:rPr>
        <w:rFonts w:hint="default" w:ascii="Wingdings" w:hAnsi="Wingdings"/>
      </w:rPr>
    </w:lvl>
    <w:lvl w:ilvl="7" w:tentative="0">
      <w:start w:val="1"/>
      <w:numFmt w:val="bullet"/>
      <w:lvlText w:val=""/>
      <w:lvlJc w:val="left"/>
      <w:pPr>
        <w:ind w:left="4039" w:hanging="420"/>
      </w:pPr>
      <w:rPr>
        <w:rFonts w:hint="default" w:ascii="Wingdings" w:hAnsi="Wingdings"/>
      </w:rPr>
    </w:lvl>
    <w:lvl w:ilvl="8" w:tentative="0">
      <w:start w:val="1"/>
      <w:numFmt w:val="bullet"/>
      <w:lvlText w:val=""/>
      <w:lvlJc w:val="left"/>
      <w:pPr>
        <w:ind w:left="4459" w:hanging="420"/>
      </w:pPr>
      <w:rPr>
        <w:rFonts w:hint="default" w:ascii="Wingdings" w:hAnsi="Wingdings"/>
      </w:rPr>
    </w:lvl>
  </w:abstractNum>
  <w:abstractNum w:abstractNumId="28">
    <w:nsid w:val="4AFD1347"/>
    <w:multiLevelType w:val="singleLevel"/>
    <w:tmpl w:val="4AFD1347"/>
    <w:lvl w:ilvl="0" w:tentative="0">
      <w:start w:val="1"/>
      <w:numFmt w:val="bullet"/>
      <w:pStyle w:val="640"/>
      <w:lvlText w:val=""/>
      <w:lvlJc w:val="left"/>
      <w:pPr>
        <w:tabs>
          <w:tab w:val="left" w:pos="425"/>
        </w:tabs>
        <w:ind w:left="425" w:hanging="425"/>
      </w:pPr>
      <w:rPr>
        <w:rFonts w:hint="default" w:ascii="Wingdings" w:hAnsi="Wingdings"/>
      </w:rPr>
    </w:lvl>
  </w:abstractNum>
  <w:abstractNum w:abstractNumId="29">
    <w:nsid w:val="559F0BC7"/>
    <w:multiLevelType w:val="multilevel"/>
    <w:tmpl w:val="559F0BC7"/>
    <w:lvl w:ilvl="0" w:tentative="0">
      <w:start w:val="1"/>
      <w:numFmt w:val="bullet"/>
      <w:lvlText w:val=""/>
      <w:lvlJc w:val="left"/>
      <w:pPr>
        <w:tabs>
          <w:tab w:val="left" w:pos="1497"/>
        </w:tabs>
        <w:ind w:left="1497" w:hanging="420"/>
      </w:pPr>
      <w:rPr>
        <w:rFonts w:hint="default" w:ascii="Wingdings" w:hAnsi="Wingdings"/>
      </w:rPr>
    </w:lvl>
    <w:lvl w:ilvl="1" w:tentative="0">
      <w:start w:val="1"/>
      <w:numFmt w:val="bullet"/>
      <w:lvlText w:val=""/>
      <w:lvlJc w:val="left"/>
      <w:pPr>
        <w:tabs>
          <w:tab w:val="left" w:pos="1917"/>
        </w:tabs>
        <w:ind w:left="1917" w:hanging="420"/>
      </w:pPr>
      <w:rPr>
        <w:rFonts w:hint="default" w:ascii="Wingdings" w:hAnsi="Wingdings"/>
      </w:rPr>
    </w:lvl>
    <w:lvl w:ilvl="2" w:tentative="0">
      <w:start w:val="1"/>
      <w:numFmt w:val="bullet"/>
      <w:lvlText w:val=""/>
      <w:lvlJc w:val="left"/>
      <w:pPr>
        <w:tabs>
          <w:tab w:val="left" w:pos="2337"/>
        </w:tabs>
        <w:ind w:left="2337" w:hanging="420"/>
      </w:pPr>
      <w:rPr>
        <w:rFonts w:hint="default" w:ascii="Wingdings" w:hAnsi="Wingdings"/>
      </w:rPr>
    </w:lvl>
    <w:lvl w:ilvl="3" w:tentative="0">
      <w:start w:val="1"/>
      <w:numFmt w:val="bullet"/>
      <w:lvlText w:val=""/>
      <w:lvlJc w:val="left"/>
      <w:pPr>
        <w:tabs>
          <w:tab w:val="left" w:pos="2757"/>
        </w:tabs>
        <w:ind w:left="2757" w:hanging="420"/>
      </w:pPr>
      <w:rPr>
        <w:rFonts w:hint="default" w:ascii="Wingdings" w:hAnsi="Wingdings"/>
      </w:rPr>
    </w:lvl>
    <w:lvl w:ilvl="4" w:tentative="0">
      <w:start w:val="1"/>
      <w:numFmt w:val="bullet"/>
      <w:lvlText w:val=""/>
      <w:lvlJc w:val="left"/>
      <w:pPr>
        <w:tabs>
          <w:tab w:val="left" w:pos="3177"/>
        </w:tabs>
        <w:ind w:left="3177" w:hanging="420"/>
      </w:pPr>
      <w:rPr>
        <w:rFonts w:hint="default" w:ascii="Wingdings" w:hAnsi="Wingdings"/>
      </w:rPr>
    </w:lvl>
    <w:lvl w:ilvl="5" w:tentative="0">
      <w:start w:val="1"/>
      <w:numFmt w:val="bullet"/>
      <w:lvlText w:val=""/>
      <w:lvlJc w:val="left"/>
      <w:pPr>
        <w:tabs>
          <w:tab w:val="left" w:pos="3597"/>
        </w:tabs>
        <w:ind w:left="3597" w:hanging="420"/>
      </w:pPr>
      <w:rPr>
        <w:rFonts w:hint="default" w:ascii="Wingdings" w:hAnsi="Wingdings"/>
      </w:rPr>
    </w:lvl>
    <w:lvl w:ilvl="6" w:tentative="0">
      <w:start w:val="1"/>
      <w:numFmt w:val="bullet"/>
      <w:lvlText w:val=""/>
      <w:lvlJc w:val="left"/>
      <w:pPr>
        <w:tabs>
          <w:tab w:val="left" w:pos="4017"/>
        </w:tabs>
        <w:ind w:left="4017" w:hanging="420"/>
      </w:pPr>
      <w:rPr>
        <w:rFonts w:hint="default" w:ascii="Wingdings" w:hAnsi="Wingdings"/>
      </w:rPr>
    </w:lvl>
    <w:lvl w:ilvl="7" w:tentative="0">
      <w:start w:val="1"/>
      <w:numFmt w:val="bullet"/>
      <w:lvlText w:val=""/>
      <w:lvlJc w:val="left"/>
      <w:pPr>
        <w:tabs>
          <w:tab w:val="left" w:pos="4437"/>
        </w:tabs>
        <w:ind w:left="4437" w:hanging="420"/>
      </w:pPr>
      <w:rPr>
        <w:rFonts w:hint="default" w:ascii="Wingdings" w:hAnsi="Wingdings"/>
      </w:rPr>
    </w:lvl>
    <w:lvl w:ilvl="8" w:tentative="0">
      <w:start w:val="1"/>
      <w:numFmt w:val="bullet"/>
      <w:lvlText w:val=""/>
      <w:lvlJc w:val="left"/>
      <w:pPr>
        <w:tabs>
          <w:tab w:val="left" w:pos="4857"/>
        </w:tabs>
        <w:ind w:left="4857" w:hanging="420"/>
      </w:pPr>
      <w:rPr>
        <w:rFonts w:hint="default" w:ascii="Wingdings" w:hAnsi="Wingdings"/>
      </w:rPr>
    </w:lvl>
  </w:abstractNum>
  <w:abstractNum w:abstractNumId="30">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95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31">
    <w:nsid w:val="5E400AA9"/>
    <w:multiLevelType w:val="multilevel"/>
    <w:tmpl w:val="5E400AA9"/>
    <w:lvl w:ilvl="0" w:tentative="0">
      <w:start w:val="1"/>
      <w:numFmt w:val="decimal"/>
      <w:pStyle w:val="1245"/>
      <w:suff w:val="space"/>
      <w:lvlText w:val="%1."/>
      <w:lvlJc w:val="left"/>
      <w:pPr>
        <w:ind w:left="0" w:firstLine="0"/>
      </w:pPr>
      <w:rPr>
        <w:rFonts w:hint="eastAsia"/>
        <w:b/>
        <w:i w:val="0"/>
        <w:sz w:val="28"/>
        <w:szCs w:val="28"/>
      </w:rPr>
    </w:lvl>
    <w:lvl w:ilvl="1" w:tentative="0">
      <w:start w:val="1"/>
      <w:numFmt w:val="decimal"/>
      <w:pStyle w:val="1244"/>
      <w:lvlText w:val="%1.%2"/>
      <w:lvlJc w:val="left"/>
      <w:pPr>
        <w:tabs>
          <w:tab w:val="left" w:pos="0"/>
        </w:tabs>
        <w:ind w:left="0" w:firstLine="0"/>
      </w:pPr>
      <w:rPr>
        <w:rFonts w:hint="eastAsia" w:eastAsia="黑体"/>
        <w:b w:val="0"/>
        <w:i w:val="0"/>
        <w:color w:val="auto"/>
        <w:sz w:val="28"/>
        <w:szCs w:val="28"/>
        <w:lang w:val="en-US" w:eastAsia="zh-CN"/>
      </w:rPr>
    </w:lvl>
    <w:lvl w:ilvl="2" w:tentative="0">
      <w:start w:val="1"/>
      <w:numFmt w:val="decimal"/>
      <w:pStyle w:val="1246"/>
      <w:suff w:val="space"/>
      <w:lvlText w:val="%1.%2.%3"/>
      <w:lvlJc w:val="left"/>
      <w:pPr>
        <w:ind w:left="0" w:firstLine="0"/>
      </w:pPr>
      <w:rPr>
        <w:rFonts w:hint="eastAsia"/>
        <w:b/>
        <w:i w:val="0"/>
        <w:color w:val="auto"/>
        <w:sz w:val="28"/>
        <w:szCs w:val="28"/>
      </w:rPr>
    </w:lvl>
    <w:lvl w:ilvl="3" w:tentative="0">
      <w:start w:val="1"/>
      <w:numFmt w:val="decimal"/>
      <w:pStyle w:val="1247"/>
      <w:lvlText w:val="%1.%2.%3.%4"/>
      <w:lvlJc w:val="left"/>
      <w:pPr>
        <w:tabs>
          <w:tab w:val="left" w:pos="0"/>
        </w:tabs>
        <w:ind w:left="0" w:firstLine="0"/>
      </w:pPr>
      <w:rPr>
        <w:rFonts w:hint="default" w:ascii="Times New Roman" w:hAnsi="Times New Roman" w:eastAsia="宋体"/>
        <w:b w:val="0"/>
        <w:i w:val="0"/>
        <w:sz w:val="24"/>
        <w:szCs w:val="24"/>
      </w:rPr>
    </w:lvl>
    <w:lvl w:ilvl="4" w:tentative="0">
      <w:start w:val="1"/>
      <w:numFmt w:val="decimal"/>
      <w:suff w:val="space"/>
      <w:lvlText w:val="（%5）"/>
      <w:lvlJc w:val="left"/>
      <w:pPr>
        <w:ind w:left="-180" w:firstLine="567"/>
      </w:pPr>
      <w:rPr>
        <w:rFonts w:hint="eastAsia" w:cs="Times New Roman"/>
        <w:b w:val="0"/>
        <w:i w:val="0"/>
        <w:sz w:val="28"/>
      </w:rPr>
    </w:lvl>
    <w:lvl w:ilvl="5" w:tentative="0">
      <w:start w:val="1"/>
      <w:numFmt w:val="decimal"/>
      <w:suff w:val="space"/>
      <w:lvlText w:val="%6）"/>
      <w:lvlJc w:val="left"/>
      <w:pPr>
        <w:ind w:left="-180" w:firstLine="851"/>
      </w:pPr>
      <w:rPr>
        <w:rFonts w:hint="eastAsia"/>
      </w:rPr>
    </w:lvl>
    <w:lvl w:ilvl="6" w:tentative="0">
      <w:start w:val="1"/>
      <w:numFmt w:val="lowerLetter"/>
      <w:suff w:val="space"/>
      <w:lvlText w:val="%7."/>
      <w:lvlJc w:val="left"/>
      <w:pPr>
        <w:ind w:left="-180" w:firstLine="851"/>
      </w:pPr>
      <w:rPr>
        <w:rFonts w:hint="eastAsia"/>
        <w:sz w:val="24"/>
      </w:rPr>
    </w:lvl>
    <w:lvl w:ilvl="7" w:tentative="0">
      <w:start w:val="1"/>
      <w:numFmt w:val="decimal"/>
      <w:lvlText w:val="%1.%2.%3.%4.%5.%6.%7.%8"/>
      <w:lvlJc w:val="left"/>
      <w:pPr>
        <w:tabs>
          <w:tab w:val="left" w:pos="1447"/>
        </w:tabs>
        <w:ind w:left="-180" w:firstLine="187"/>
      </w:pPr>
      <w:rPr>
        <w:rFonts w:hint="eastAsia"/>
      </w:rPr>
    </w:lvl>
    <w:lvl w:ilvl="8" w:tentative="0">
      <w:start w:val="1"/>
      <w:numFmt w:val="decimal"/>
      <w:lvlText w:val="%1.%2.%3.%4.%5.%6.%7.%8.%9"/>
      <w:lvlJc w:val="left"/>
      <w:pPr>
        <w:tabs>
          <w:tab w:val="left" w:pos="1591"/>
        </w:tabs>
        <w:ind w:left="-180" w:firstLine="187"/>
      </w:pPr>
      <w:rPr>
        <w:rFonts w:hint="eastAsia"/>
      </w:rPr>
    </w:lvl>
  </w:abstractNum>
  <w:abstractNum w:abstractNumId="32">
    <w:nsid w:val="5FA927AE"/>
    <w:multiLevelType w:val="multilevel"/>
    <w:tmpl w:val="5FA927AE"/>
    <w:lvl w:ilvl="0" w:tentative="0">
      <w:start w:val="1"/>
      <w:numFmt w:val="decimal"/>
      <w:pStyle w:val="1054"/>
      <w:lvlText w:val="(%1)"/>
      <w:lvlJc w:val="left"/>
      <w:pPr>
        <w:tabs>
          <w:tab w:val="left" w:pos="907"/>
        </w:tabs>
        <w:ind w:left="0" w:firstLine="547"/>
      </w:pPr>
      <w:rPr>
        <w:rFonts w:hint="eastAsia"/>
      </w:rPr>
    </w:lvl>
    <w:lvl w:ilvl="1" w:tentative="0">
      <w:start w:val="1"/>
      <w:numFmt w:val="decimal"/>
      <w:lvlText w:val="%2."/>
      <w:lvlJc w:val="left"/>
      <w:pPr>
        <w:tabs>
          <w:tab w:val="left" w:pos="960"/>
        </w:tabs>
        <w:ind w:left="960" w:hanging="54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3">
    <w:nsid w:val="68CA1121"/>
    <w:multiLevelType w:val="singleLevel"/>
    <w:tmpl w:val="68CA1121"/>
    <w:lvl w:ilvl="0" w:tentative="0">
      <w:start w:val="1"/>
      <w:numFmt w:val="decimal"/>
      <w:suff w:val="nothing"/>
      <w:lvlText w:val="%1）"/>
      <w:lvlJc w:val="left"/>
    </w:lvl>
  </w:abstractNum>
  <w:abstractNum w:abstractNumId="34">
    <w:nsid w:val="6AD84059"/>
    <w:multiLevelType w:val="multilevel"/>
    <w:tmpl w:val="6AD84059"/>
    <w:lvl w:ilvl="0" w:tentative="0">
      <w:start w:val="1"/>
      <w:numFmt w:val="bullet"/>
      <w:lvlText w:val=""/>
      <w:lvlJc w:val="left"/>
      <w:pPr>
        <w:tabs>
          <w:tab w:val="left" w:pos="1380"/>
        </w:tabs>
        <w:ind w:left="1380" w:hanging="420"/>
      </w:pPr>
      <w:rPr>
        <w:rFonts w:hint="default" w:ascii="Wingdings" w:hAnsi="Wingdings"/>
      </w:rPr>
    </w:lvl>
    <w:lvl w:ilvl="1" w:tentative="0">
      <w:start w:val="1"/>
      <w:numFmt w:val="bullet"/>
      <w:lvlText w:val=""/>
      <w:lvlJc w:val="left"/>
      <w:pPr>
        <w:tabs>
          <w:tab w:val="left" w:pos="1800"/>
        </w:tabs>
        <w:ind w:left="1800" w:hanging="420"/>
      </w:pPr>
      <w:rPr>
        <w:rFonts w:hint="default" w:ascii="Wingdings" w:hAnsi="Wingdings"/>
      </w:rPr>
    </w:lvl>
    <w:lvl w:ilvl="2" w:tentative="0">
      <w:start w:val="1"/>
      <w:numFmt w:val="bullet"/>
      <w:lvlText w:val=""/>
      <w:lvlJc w:val="left"/>
      <w:pPr>
        <w:tabs>
          <w:tab w:val="left" w:pos="2220"/>
        </w:tabs>
        <w:ind w:left="2220" w:hanging="420"/>
      </w:pPr>
      <w:rPr>
        <w:rFonts w:hint="default" w:ascii="Wingdings" w:hAnsi="Wingdings"/>
      </w:rPr>
    </w:lvl>
    <w:lvl w:ilvl="3" w:tentative="0">
      <w:start w:val="1"/>
      <w:numFmt w:val="bullet"/>
      <w:lvlText w:val=""/>
      <w:lvlJc w:val="left"/>
      <w:pPr>
        <w:tabs>
          <w:tab w:val="left" w:pos="2640"/>
        </w:tabs>
        <w:ind w:left="2640" w:hanging="420"/>
      </w:pPr>
      <w:rPr>
        <w:rFonts w:hint="default" w:ascii="Wingdings" w:hAnsi="Wingdings"/>
      </w:rPr>
    </w:lvl>
    <w:lvl w:ilvl="4" w:tentative="0">
      <w:start w:val="1"/>
      <w:numFmt w:val="bullet"/>
      <w:lvlText w:val=""/>
      <w:lvlJc w:val="left"/>
      <w:pPr>
        <w:tabs>
          <w:tab w:val="left" w:pos="3060"/>
        </w:tabs>
        <w:ind w:left="3060" w:hanging="420"/>
      </w:pPr>
      <w:rPr>
        <w:rFonts w:hint="default" w:ascii="Wingdings" w:hAnsi="Wingdings"/>
      </w:rPr>
    </w:lvl>
    <w:lvl w:ilvl="5" w:tentative="0">
      <w:start w:val="1"/>
      <w:numFmt w:val="bullet"/>
      <w:lvlText w:val=""/>
      <w:lvlJc w:val="left"/>
      <w:pPr>
        <w:tabs>
          <w:tab w:val="left" w:pos="3480"/>
        </w:tabs>
        <w:ind w:left="3480" w:hanging="420"/>
      </w:pPr>
      <w:rPr>
        <w:rFonts w:hint="default" w:ascii="Wingdings" w:hAnsi="Wingdings"/>
      </w:rPr>
    </w:lvl>
    <w:lvl w:ilvl="6" w:tentative="0">
      <w:start w:val="1"/>
      <w:numFmt w:val="bullet"/>
      <w:lvlText w:val=""/>
      <w:lvlJc w:val="left"/>
      <w:pPr>
        <w:tabs>
          <w:tab w:val="left" w:pos="3900"/>
        </w:tabs>
        <w:ind w:left="3900" w:hanging="420"/>
      </w:pPr>
      <w:rPr>
        <w:rFonts w:hint="default" w:ascii="Wingdings" w:hAnsi="Wingdings"/>
      </w:rPr>
    </w:lvl>
    <w:lvl w:ilvl="7" w:tentative="0">
      <w:start w:val="1"/>
      <w:numFmt w:val="bullet"/>
      <w:lvlText w:val=""/>
      <w:lvlJc w:val="left"/>
      <w:pPr>
        <w:tabs>
          <w:tab w:val="left" w:pos="4320"/>
        </w:tabs>
        <w:ind w:left="4320" w:hanging="420"/>
      </w:pPr>
      <w:rPr>
        <w:rFonts w:hint="default" w:ascii="Wingdings" w:hAnsi="Wingdings"/>
      </w:rPr>
    </w:lvl>
    <w:lvl w:ilvl="8" w:tentative="0">
      <w:start w:val="1"/>
      <w:numFmt w:val="bullet"/>
      <w:lvlText w:val=""/>
      <w:lvlJc w:val="left"/>
      <w:pPr>
        <w:tabs>
          <w:tab w:val="left" w:pos="4740"/>
        </w:tabs>
        <w:ind w:left="4740" w:hanging="420"/>
      </w:pPr>
      <w:rPr>
        <w:rFonts w:hint="default" w:ascii="Wingdings" w:hAnsi="Wingdings"/>
      </w:rPr>
    </w:lvl>
  </w:abstractNum>
  <w:abstractNum w:abstractNumId="35">
    <w:nsid w:val="70DA1E4A"/>
    <w:multiLevelType w:val="multilevel"/>
    <w:tmpl w:val="70DA1E4A"/>
    <w:lvl w:ilvl="0" w:tentative="0">
      <w:start w:val="1"/>
      <w:numFmt w:val="bullet"/>
      <w:pStyle w:val="652"/>
      <w:lvlText w:val=""/>
      <w:lvlJc w:val="left"/>
      <w:pPr>
        <w:tabs>
          <w:tab w:val="left" w:pos="360"/>
        </w:tabs>
        <w:ind w:left="360" w:hanging="36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6">
    <w:nsid w:val="72200912"/>
    <w:multiLevelType w:val="multilevel"/>
    <w:tmpl w:val="72200912"/>
    <w:lvl w:ilvl="0" w:tentative="0">
      <w:start w:val="1"/>
      <w:numFmt w:val="lowerRoman"/>
      <w:pStyle w:val="599"/>
      <w:lvlText w:val="(%1)"/>
      <w:lvlJc w:val="left"/>
      <w:pPr>
        <w:tabs>
          <w:tab w:val="left" w:pos="2722"/>
        </w:tabs>
        <w:ind w:left="2722" w:hanging="567"/>
      </w:pPr>
      <w:rPr>
        <w:rFonts w:hint="eastAsia" w:ascii="Times New Roman" w:hAnsi="Times New Roman"/>
        <w:b w:val="0"/>
        <w:bCs w:val="0"/>
        <w:i w:val="0"/>
        <w:iCs w:val="0"/>
        <w:caps w:val="0"/>
        <w:smallCaps w:val="0"/>
        <w:strike w:val="0"/>
        <w:dstrike w:val="0"/>
        <w:outline w:val="0"/>
        <w:shadow w:val="0"/>
        <w:emboss w:val="0"/>
        <w:imprint w:val="0"/>
        <w:snapToGrid w:val="0"/>
        <w:vanish w:val="0"/>
        <w:spacing w:val="0"/>
        <w:kern w:val="0"/>
        <w:position w:val="0"/>
        <w:u w:val="none"/>
        <w:vertAlign w:val="baseline"/>
      </w:rPr>
    </w:lvl>
    <w:lvl w:ilvl="1" w:tentative="0">
      <w:start w:val="1"/>
      <w:numFmt w:val="ideographTraditional"/>
      <w:lvlText w:val="%2、"/>
      <w:lvlJc w:val="left"/>
      <w:pPr>
        <w:tabs>
          <w:tab w:val="left" w:pos="960"/>
        </w:tabs>
        <w:ind w:left="960" w:hanging="480"/>
      </w:pPr>
    </w:lvl>
    <w:lvl w:ilvl="2" w:tentative="0">
      <w:start w:val="1"/>
      <w:numFmt w:val="lowerRoman"/>
      <w:lvlText w:val="%3."/>
      <w:lvlJc w:val="right"/>
      <w:pPr>
        <w:tabs>
          <w:tab w:val="left" w:pos="1440"/>
        </w:tabs>
        <w:ind w:left="1440" w:hanging="480"/>
      </w:pPr>
    </w:lvl>
    <w:lvl w:ilvl="3" w:tentative="0">
      <w:start w:val="1"/>
      <w:numFmt w:val="decimal"/>
      <w:lvlText w:val="%4."/>
      <w:lvlJc w:val="left"/>
      <w:pPr>
        <w:tabs>
          <w:tab w:val="left" w:pos="1920"/>
        </w:tabs>
        <w:ind w:left="1920" w:hanging="480"/>
      </w:pPr>
    </w:lvl>
    <w:lvl w:ilvl="4" w:tentative="0">
      <w:start w:val="1"/>
      <w:numFmt w:val="ideographTraditional"/>
      <w:lvlText w:val="%5、"/>
      <w:lvlJc w:val="left"/>
      <w:pPr>
        <w:tabs>
          <w:tab w:val="left" w:pos="2400"/>
        </w:tabs>
        <w:ind w:left="2400" w:hanging="480"/>
      </w:pPr>
    </w:lvl>
    <w:lvl w:ilvl="5" w:tentative="0">
      <w:start w:val="1"/>
      <w:numFmt w:val="lowerRoman"/>
      <w:lvlText w:val="%6."/>
      <w:lvlJc w:val="right"/>
      <w:pPr>
        <w:tabs>
          <w:tab w:val="left" w:pos="2880"/>
        </w:tabs>
        <w:ind w:left="2880" w:hanging="480"/>
      </w:pPr>
    </w:lvl>
    <w:lvl w:ilvl="6" w:tentative="0">
      <w:start w:val="1"/>
      <w:numFmt w:val="decimal"/>
      <w:lvlText w:val="%7."/>
      <w:lvlJc w:val="left"/>
      <w:pPr>
        <w:tabs>
          <w:tab w:val="left" w:pos="3360"/>
        </w:tabs>
        <w:ind w:left="3360" w:hanging="480"/>
      </w:pPr>
    </w:lvl>
    <w:lvl w:ilvl="7" w:tentative="0">
      <w:start w:val="1"/>
      <w:numFmt w:val="ideographTraditional"/>
      <w:lvlText w:val="%8、"/>
      <w:lvlJc w:val="left"/>
      <w:pPr>
        <w:tabs>
          <w:tab w:val="left" w:pos="3840"/>
        </w:tabs>
        <w:ind w:left="3840" w:hanging="480"/>
      </w:pPr>
    </w:lvl>
    <w:lvl w:ilvl="8" w:tentative="0">
      <w:start w:val="1"/>
      <w:numFmt w:val="lowerRoman"/>
      <w:lvlText w:val="%9."/>
      <w:lvlJc w:val="right"/>
      <w:pPr>
        <w:tabs>
          <w:tab w:val="left" w:pos="4320"/>
        </w:tabs>
        <w:ind w:left="4320" w:hanging="480"/>
      </w:pPr>
    </w:lvl>
  </w:abstractNum>
  <w:abstractNum w:abstractNumId="37">
    <w:nsid w:val="7755585C"/>
    <w:multiLevelType w:val="multilevel"/>
    <w:tmpl w:val="7755585C"/>
    <w:lvl w:ilvl="0" w:tentative="0">
      <w:start w:val="1"/>
      <w:numFmt w:val="bullet"/>
      <w:pStyle w:val="1228"/>
      <w:lvlText w:val=""/>
      <w:lvlJc w:val="left"/>
      <w:pPr>
        <w:tabs>
          <w:tab w:val="left" w:pos="284"/>
        </w:tabs>
        <w:ind w:left="284" w:hanging="284"/>
      </w:pPr>
      <w:rPr>
        <w:rFonts w:hint="default" w:ascii="Wingdings" w:hAnsi="Wingdings" w:cs="Wingdings"/>
        <w:color w:val="auto"/>
        <w:sz w:val="13"/>
        <w:szCs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8">
    <w:nsid w:val="7C686644"/>
    <w:multiLevelType w:val="multilevel"/>
    <w:tmpl w:val="7C686644"/>
    <w:lvl w:ilvl="0" w:tentative="0">
      <w:start w:val="1"/>
      <w:numFmt w:val="japaneseCounting"/>
      <w:lvlText w:val="第%1章"/>
      <w:lvlJc w:val="left"/>
      <w:pPr>
        <w:tabs>
          <w:tab w:val="left" w:pos="425"/>
        </w:tabs>
        <w:ind w:left="425" w:hanging="425"/>
      </w:pPr>
      <w:rPr>
        <w:rFonts w:ascii="Times New Roman" w:hAnsi="Times New Roman" w:eastAsia="Times New Roman" w:cs="Times New Roman"/>
        <w:sz w:val="44"/>
        <w:szCs w:val="44"/>
      </w:rPr>
    </w:lvl>
    <w:lvl w:ilvl="1" w:tentative="0">
      <w:start w:val="1"/>
      <w:numFmt w:val="none"/>
      <w:pStyle w:val="1277"/>
      <w:lvlText w:val="第一节"/>
      <w:lvlJc w:val="center"/>
      <w:pPr>
        <w:tabs>
          <w:tab w:val="left" w:pos="132"/>
        </w:tabs>
        <w:ind w:left="132" w:hanging="132"/>
      </w:pPr>
      <w:rPr>
        <w:rFonts w:hint="eastAsia"/>
        <w:sz w:val="24"/>
        <w:szCs w:val="24"/>
      </w:rPr>
    </w:lvl>
    <w:lvl w:ilvl="2" w:tentative="0">
      <w:start w:val="1"/>
      <w:numFmt w:val="decimal"/>
      <w:lvlText w:val="%1.%2.%3"/>
      <w:lvlJc w:val="left"/>
      <w:pPr>
        <w:tabs>
          <w:tab w:val="left" w:pos="709"/>
        </w:tabs>
        <w:ind w:left="709" w:hanging="709"/>
      </w:pPr>
      <w:rPr>
        <w:rFonts w:hint="eastAsia" w:eastAsia="宋体"/>
        <w:sz w:val="24"/>
        <w:szCs w:val="24"/>
      </w:rPr>
    </w:lvl>
    <w:lvl w:ilvl="3" w:tentative="0">
      <w:start w:val="1"/>
      <w:numFmt w:val="decimal"/>
      <w:lvlText w:val="%1.%2.%3.%4"/>
      <w:lvlJc w:val="left"/>
      <w:pPr>
        <w:tabs>
          <w:tab w:val="left" w:pos="851"/>
        </w:tabs>
        <w:ind w:left="851" w:hanging="851"/>
      </w:pPr>
      <w:rPr>
        <w:rFonts w:hint="eastAsia" w:eastAsia="宋体"/>
        <w:sz w:val="24"/>
        <w:szCs w:val="24"/>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9">
    <w:nsid w:val="7CDB3811"/>
    <w:multiLevelType w:val="multilevel"/>
    <w:tmpl w:val="7CDB3811"/>
    <w:lvl w:ilvl="0" w:tentative="0">
      <w:start w:val="1"/>
      <w:numFmt w:val="bullet"/>
      <w:pStyle w:val="1151"/>
      <w:lvlText w:val=""/>
      <w:lvlJc w:val="left"/>
      <w:pPr>
        <w:tabs>
          <w:tab w:val="left" w:pos="2896"/>
        </w:tabs>
        <w:ind w:left="2896" w:hanging="174"/>
      </w:pPr>
      <w:rPr>
        <w:rFonts w:hint="default" w:ascii="Wingdings" w:hAnsi="Wingdings"/>
      </w:rPr>
    </w:lvl>
    <w:lvl w:ilvl="1" w:tentative="0">
      <w:start w:val="1"/>
      <w:numFmt w:val="bullet"/>
      <w:lvlText w:val=""/>
      <w:lvlJc w:val="left"/>
      <w:pPr>
        <w:tabs>
          <w:tab w:val="left" w:pos="3316"/>
        </w:tabs>
        <w:ind w:left="3316" w:hanging="420"/>
      </w:pPr>
      <w:rPr>
        <w:rFonts w:hint="default" w:ascii="Wingdings" w:hAnsi="Wingdings"/>
      </w:rPr>
    </w:lvl>
    <w:lvl w:ilvl="2" w:tentative="0">
      <w:start w:val="1"/>
      <w:numFmt w:val="bullet"/>
      <w:lvlText w:val=""/>
      <w:lvlJc w:val="left"/>
      <w:pPr>
        <w:tabs>
          <w:tab w:val="left" w:pos="3736"/>
        </w:tabs>
        <w:ind w:left="3736" w:hanging="420"/>
      </w:pPr>
      <w:rPr>
        <w:rFonts w:hint="default" w:ascii="Wingdings" w:hAnsi="Wingdings"/>
      </w:rPr>
    </w:lvl>
    <w:lvl w:ilvl="3" w:tentative="0">
      <w:start w:val="1"/>
      <w:numFmt w:val="bullet"/>
      <w:lvlText w:val=""/>
      <w:lvlJc w:val="left"/>
      <w:pPr>
        <w:tabs>
          <w:tab w:val="left" w:pos="4156"/>
        </w:tabs>
        <w:ind w:left="4156" w:hanging="420"/>
      </w:pPr>
      <w:rPr>
        <w:rFonts w:hint="default" w:ascii="Wingdings" w:hAnsi="Wingdings"/>
      </w:rPr>
    </w:lvl>
    <w:lvl w:ilvl="4" w:tentative="0">
      <w:start w:val="1"/>
      <w:numFmt w:val="bullet"/>
      <w:lvlText w:val=""/>
      <w:lvlJc w:val="left"/>
      <w:pPr>
        <w:tabs>
          <w:tab w:val="left" w:pos="4576"/>
        </w:tabs>
        <w:ind w:left="4576" w:hanging="420"/>
      </w:pPr>
      <w:rPr>
        <w:rFonts w:hint="default" w:ascii="Wingdings" w:hAnsi="Wingdings"/>
      </w:rPr>
    </w:lvl>
    <w:lvl w:ilvl="5" w:tentative="0">
      <w:start w:val="1"/>
      <w:numFmt w:val="bullet"/>
      <w:lvlText w:val=""/>
      <w:lvlJc w:val="left"/>
      <w:pPr>
        <w:tabs>
          <w:tab w:val="left" w:pos="4996"/>
        </w:tabs>
        <w:ind w:left="4996" w:hanging="420"/>
      </w:pPr>
      <w:rPr>
        <w:rFonts w:hint="default" w:ascii="Wingdings" w:hAnsi="Wingdings"/>
      </w:rPr>
    </w:lvl>
    <w:lvl w:ilvl="6" w:tentative="0">
      <w:start w:val="1"/>
      <w:numFmt w:val="bullet"/>
      <w:lvlText w:val=""/>
      <w:lvlJc w:val="left"/>
      <w:pPr>
        <w:tabs>
          <w:tab w:val="left" w:pos="5416"/>
        </w:tabs>
        <w:ind w:left="5416" w:hanging="420"/>
      </w:pPr>
      <w:rPr>
        <w:rFonts w:hint="default" w:ascii="Wingdings" w:hAnsi="Wingdings"/>
      </w:rPr>
    </w:lvl>
    <w:lvl w:ilvl="7" w:tentative="0">
      <w:start w:val="1"/>
      <w:numFmt w:val="bullet"/>
      <w:lvlText w:val=""/>
      <w:lvlJc w:val="left"/>
      <w:pPr>
        <w:tabs>
          <w:tab w:val="left" w:pos="5836"/>
        </w:tabs>
        <w:ind w:left="5836" w:hanging="420"/>
      </w:pPr>
      <w:rPr>
        <w:rFonts w:hint="default" w:ascii="Wingdings" w:hAnsi="Wingdings"/>
      </w:rPr>
    </w:lvl>
    <w:lvl w:ilvl="8" w:tentative="0">
      <w:start w:val="1"/>
      <w:numFmt w:val="bullet"/>
      <w:lvlText w:val=""/>
      <w:lvlJc w:val="left"/>
      <w:pPr>
        <w:tabs>
          <w:tab w:val="left" w:pos="6256"/>
        </w:tabs>
        <w:ind w:left="6256" w:hanging="420"/>
      </w:pPr>
      <w:rPr>
        <w:rFonts w:hint="default" w:ascii="Wingdings" w:hAnsi="Wingdings"/>
      </w:rPr>
    </w:lvl>
  </w:abstractNum>
  <w:num w:numId="1">
    <w:abstractNumId w:val="5"/>
  </w:num>
  <w:num w:numId="2">
    <w:abstractNumId w:val="1"/>
  </w:num>
  <w:num w:numId="3">
    <w:abstractNumId w:val="19"/>
  </w:num>
  <w:num w:numId="4">
    <w:abstractNumId w:val="25"/>
  </w:num>
  <w:num w:numId="5">
    <w:abstractNumId w:val="13"/>
  </w:num>
  <w:num w:numId="6">
    <w:abstractNumId w:val="36"/>
  </w:num>
  <w:num w:numId="7">
    <w:abstractNumId w:val="28"/>
  </w:num>
  <w:num w:numId="8">
    <w:abstractNumId w:val="35"/>
  </w:num>
  <w:num w:numId="9">
    <w:abstractNumId w:val="9"/>
  </w:num>
  <w:num w:numId="10">
    <w:abstractNumId w:val="30"/>
  </w:num>
  <w:num w:numId="11">
    <w:abstractNumId w:val="32"/>
  </w:num>
  <w:num w:numId="12">
    <w:abstractNumId w:val="26"/>
  </w:num>
  <w:num w:numId="13">
    <w:abstractNumId w:val="39"/>
  </w:num>
  <w:num w:numId="14">
    <w:abstractNumId w:val="20"/>
  </w:num>
  <w:num w:numId="15">
    <w:abstractNumId w:val="12"/>
  </w:num>
  <w:num w:numId="16">
    <w:abstractNumId w:val="14"/>
  </w:num>
  <w:num w:numId="17">
    <w:abstractNumId w:val="18"/>
  </w:num>
  <w:num w:numId="18">
    <w:abstractNumId w:val="2"/>
  </w:num>
  <w:num w:numId="19">
    <w:abstractNumId w:val="37"/>
  </w:num>
  <w:num w:numId="20">
    <w:abstractNumId w:val="0"/>
  </w:num>
  <w:num w:numId="21">
    <w:abstractNumId w:val="10"/>
  </w:num>
  <w:num w:numId="22">
    <w:abstractNumId w:val="31"/>
  </w:num>
  <w:num w:numId="23">
    <w:abstractNumId w:val="38"/>
  </w:num>
  <w:num w:numId="24">
    <w:abstractNumId w:val="16"/>
  </w:num>
  <w:num w:numId="25">
    <w:abstractNumId w:val="24"/>
  </w:num>
  <w:num w:numId="26">
    <w:abstractNumId w:val="6"/>
  </w:num>
  <w:num w:numId="27">
    <w:abstractNumId w:val="21"/>
  </w:num>
  <w:num w:numId="28">
    <w:abstractNumId w:val="11"/>
  </w:num>
  <w:num w:numId="29">
    <w:abstractNumId w:val="4"/>
  </w:num>
  <w:num w:numId="30">
    <w:abstractNumId w:val="3"/>
  </w:num>
  <w:num w:numId="31">
    <w:abstractNumId w:val="22"/>
  </w:num>
  <w:num w:numId="32">
    <w:abstractNumId w:val="8"/>
  </w:num>
  <w:num w:numId="33">
    <w:abstractNumId w:val="29"/>
  </w:num>
  <w:num w:numId="34">
    <w:abstractNumId w:val="7"/>
  </w:num>
  <w:num w:numId="35">
    <w:abstractNumId w:val="34"/>
  </w:num>
  <w:num w:numId="36">
    <w:abstractNumId w:val="27"/>
  </w:num>
  <w:num w:numId="37">
    <w:abstractNumId w:val="17"/>
  </w:num>
  <w:num w:numId="38">
    <w:abstractNumId w:val="23"/>
  </w:num>
  <w:num w:numId="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num>
  <w:num w:numId="41">
    <w:abstractNumId w:val="33"/>
  </w:num>
  <w:num w:numId="4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20"/>
  <w:drawingGridVerticalSpacing w:val="163"/>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jZDZmNmI0MzM1MWQyMTBmMTFiOGY3ZTg4ZGI0OWMifQ=="/>
  </w:docVars>
  <w:rsids>
    <w:rsidRoot w:val="00172A27"/>
    <w:rsid w:val="00000089"/>
    <w:rsid w:val="0000025B"/>
    <w:rsid w:val="000002AF"/>
    <w:rsid w:val="00000377"/>
    <w:rsid w:val="0000060F"/>
    <w:rsid w:val="000009B7"/>
    <w:rsid w:val="00001118"/>
    <w:rsid w:val="00001564"/>
    <w:rsid w:val="0000158D"/>
    <w:rsid w:val="000018E3"/>
    <w:rsid w:val="000019D3"/>
    <w:rsid w:val="00001D54"/>
    <w:rsid w:val="00001F74"/>
    <w:rsid w:val="000021B7"/>
    <w:rsid w:val="000021E2"/>
    <w:rsid w:val="0000261C"/>
    <w:rsid w:val="00002752"/>
    <w:rsid w:val="00002A41"/>
    <w:rsid w:val="00002D3C"/>
    <w:rsid w:val="0000317F"/>
    <w:rsid w:val="000031B9"/>
    <w:rsid w:val="00003699"/>
    <w:rsid w:val="0000370C"/>
    <w:rsid w:val="000048A1"/>
    <w:rsid w:val="00004A3E"/>
    <w:rsid w:val="00004B77"/>
    <w:rsid w:val="00004E61"/>
    <w:rsid w:val="00004F01"/>
    <w:rsid w:val="00004F9B"/>
    <w:rsid w:val="00005062"/>
    <w:rsid w:val="000053D4"/>
    <w:rsid w:val="000055FC"/>
    <w:rsid w:val="000057CF"/>
    <w:rsid w:val="00005AA2"/>
    <w:rsid w:val="00005C76"/>
    <w:rsid w:val="00005DDB"/>
    <w:rsid w:val="00006353"/>
    <w:rsid w:val="00006496"/>
    <w:rsid w:val="0000656E"/>
    <w:rsid w:val="0000664B"/>
    <w:rsid w:val="00006838"/>
    <w:rsid w:val="00006995"/>
    <w:rsid w:val="00006A09"/>
    <w:rsid w:val="00006BA1"/>
    <w:rsid w:val="00007744"/>
    <w:rsid w:val="0000790C"/>
    <w:rsid w:val="00007AF6"/>
    <w:rsid w:val="00007BBB"/>
    <w:rsid w:val="000105A4"/>
    <w:rsid w:val="00010678"/>
    <w:rsid w:val="00010799"/>
    <w:rsid w:val="0001085B"/>
    <w:rsid w:val="00010884"/>
    <w:rsid w:val="00010969"/>
    <w:rsid w:val="00010B50"/>
    <w:rsid w:val="00010E69"/>
    <w:rsid w:val="00010F2E"/>
    <w:rsid w:val="00011083"/>
    <w:rsid w:val="00011107"/>
    <w:rsid w:val="00011346"/>
    <w:rsid w:val="000114C2"/>
    <w:rsid w:val="000115FA"/>
    <w:rsid w:val="00011663"/>
    <w:rsid w:val="00011B8D"/>
    <w:rsid w:val="00011BD6"/>
    <w:rsid w:val="00011E3C"/>
    <w:rsid w:val="00011E72"/>
    <w:rsid w:val="000125BE"/>
    <w:rsid w:val="000126FB"/>
    <w:rsid w:val="00012875"/>
    <w:rsid w:val="00012919"/>
    <w:rsid w:val="00012986"/>
    <w:rsid w:val="00012C10"/>
    <w:rsid w:val="000133E4"/>
    <w:rsid w:val="0001340D"/>
    <w:rsid w:val="000134D8"/>
    <w:rsid w:val="00013603"/>
    <w:rsid w:val="000136E9"/>
    <w:rsid w:val="00013792"/>
    <w:rsid w:val="0001383C"/>
    <w:rsid w:val="000139C7"/>
    <w:rsid w:val="00013E4B"/>
    <w:rsid w:val="00014043"/>
    <w:rsid w:val="000140BB"/>
    <w:rsid w:val="000144CC"/>
    <w:rsid w:val="000145E9"/>
    <w:rsid w:val="00014925"/>
    <w:rsid w:val="00014A93"/>
    <w:rsid w:val="00014BB3"/>
    <w:rsid w:val="00014BB5"/>
    <w:rsid w:val="00014FA8"/>
    <w:rsid w:val="00015179"/>
    <w:rsid w:val="00015190"/>
    <w:rsid w:val="00015337"/>
    <w:rsid w:val="000154E6"/>
    <w:rsid w:val="00015D8B"/>
    <w:rsid w:val="00015DA0"/>
    <w:rsid w:val="00015ED7"/>
    <w:rsid w:val="0001605C"/>
    <w:rsid w:val="000160E8"/>
    <w:rsid w:val="00016307"/>
    <w:rsid w:val="000163A7"/>
    <w:rsid w:val="000163C7"/>
    <w:rsid w:val="00016C79"/>
    <w:rsid w:val="00016F3D"/>
    <w:rsid w:val="000170DA"/>
    <w:rsid w:val="000172B1"/>
    <w:rsid w:val="00017404"/>
    <w:rsid w:val="00017642"/>
    <w:rsid w:val="00017727"/>
    <w:rsid w:val="000177A1"/>
    <w:rsid w:val="0001793F"/>
    <w:rsid w:val="00017DC3"/>
    <w:rsid w:val="000200D1"/>
    <w:rsid w:val="00020100"/>
    <w:rsid w:val="000201E7"/>
    <w:rsid w:val="000201F3"/>
    <w:rsid w:val="000201F7"/>
    <w:rsid w:val="000202DA"/>
    <w:rsid w:val="00020421"/>
    <w:rsid w:val="0002052A"/>
    <w:rsid w:val="000205B4"/>
    <w:rsid w:val="0002063D"/>
    <w:rsid w:val="00020649"/>
    <w:rsid w:val="000209FD"/>
    <w:rsid w:val="000211F8"/>
    <w:rsid w:val="00021315"/>
    <w:rsid w:val="00021427"/>
    <w:rsid w:val="00021536"/>
    <w:rsid w:val="000216BB"/>
    <w:rsid w:val="000216D0"/>
    <w:rsid w:val="000217F2"/>
    <w:rsid w:val="00021961"/>
    <w:rsid w:val="00021A2F"/>
    <w:rsid w:val="00021BA2"/>
    <w:rsid w:val="000223B3"/>
    <w:rsid w:val="00022614"/>
    <w:rsid w:val="00022BD1"/>
    <w:rsid w:val="00022C21"/>
    <w:rsid w:val="00022F4D"/>
    <w:rsid w:val="0002330B"/>
    <w:rsid w:val="00023439"/>
    <w:rsid w:val="000236B7"/>
    <w:rsid w:val="00023712"/>
    <w:rsid w:val="000239B6"/>
    <w:rsid w:val="00024060"/>
    <w:rsid w:val="0002451E"/>
    <w:rsid w:val="0002455A"/>
    <w:rsid w:val="00024611"/>
    <w:rsid w:val="00024615"/>
    <w:rsid w:val="000248EC"/>
    <w:rsid w:val="00024998"/>
    <w:rsid w:val="0002499A"/>
    <w:rsid w:val="00024A31"/>
    <w:rsid w:val="0002517E"/>
    <w:rsid w:val="00025230"/>
    <w:rsid w:val="00025811"/>
    <w:rsid w:val="00025A2A"/>
    <w:rsid w:val="00025ECC"/>
    <w:rsid w:val="00026386"/>
    <w:rsid w:val="000267B3"/>
    <w:rsid w:val="000269C5"/>
    <w:rsid w:val="00026A99"/>
    <w:rsid w:val="00026C0F"/>
    <w:rsid w:val="000270B5"/>
    <w:rsid w:val="00027223"/>
    <w:rsid w:val="00027248"/>
    <w:rsid w:val="0002753C"/>
    <w:rsid w:val="000277B3"/>
    <w:rsid w:val="00027862"/>
    <w:rsid w:val="00027F25"/>
    <w:rsid w:val="00030093"/>
    <w:rsid w:val="000301EA"/>
    <w:rsid w:val="0003031F"/>
    <w:rsid w:val="00030371"/>
    <w:rsid w:val="000303B6"/>
    <w:rsid w:val="00030407"/>
    <w:rsid w:val="000304E1"/>
    <w:rsid w:val="000305CF"/>
    <w:rsid w:val="00030696"/>
    <w:rsid w:val="000306BF"/>
    <w:rsid w:val="00030AA2"/>
    <w:rsid w:val="00030C97"/>
    <w:rsid w:val="00030CFF"/>
    <w:rsid w:val="00030F8A"/>
    <w:rsid w:val="00031240"/>
    <w:rsid w:val="00031248"/>
    <w:rsid w:val="00031287"/>
    <w:rsid w:val="000316FB"/>
    <w:rsid w:val="000318BA"/>
    <w:rsid w:val="000319BD"/>
    <w:rsid w:val="000319C0"/>
    <w:rsid w:val="00031B96"/>
    <w:rsid w:val="00031D28"/>
    <w:rsid w:val="00031E66"/>
    <w:rsid w:val="00031EA6"/>
    <w:rsid w:val="00032007"/>
    <w:rsid w:val="00032162"/>
    <w:rsid w:val="0003216A"/>
    <w:rsid w:val="0003252B"/>
    <w:rsid w:val="000325E7"/>
    <w:rsid w:val="000327CE"/>
    <w:rsid w:val="000327F9"/>
    <w:rsid w:val="0003281C"/>
    <w:rsid w:val="00032838"/>
    <w:rsid w:val="00032860"/>
    <w:rsid w:val="00032DF1"/>
    <w:rsid w:val="00032FDE"/>
    <w:rsid w:val="000336E0"/>
    <w:rsid w:val="0003381F"/>
    <w:rsid w:val="00033874"/>
    <w:rsid w:val="000339C5"/>
    <w:rsid w:val="00033AF1"/>
    <w:rsid w:val="00033D30"/>
    <w:rsid w:val="00033D8D"/>
    <w:rsid w:val="00033E65"/>
    <w:rsid w:val="00033F32"/>
    <w:rsid w:val="0003411F"/>
    <w:rsid w:val="000342B8"/>
    <w:rsid w:val="00034747"/>
    <w:rsid w:val="00034781"/>
    <w:rsid w:val="000347E9"/>
    <w:rsid w:val="000349C3"/>
    <w:rsid w:val="00034A13"/>
    <w:rsid w:val="00034A35"/>
    <w:rsid w:val="00034C2D"/>
    <w:rsid w:val="00034C80"/>
    <w:rsid w:val="00034E64"/>
    <w:rsid w:val="00035469"/>
    <w:rsid w:val="00035524"/>
    <w:rsid w:val="000357E1"/>
    <w:rsid w:val="00035A9A"/>
    <w:rsid w:val="00035B90"/>
    <w:rsid w:val="00035C98"/>
    <w:rsid w:val="00035DE7"/>
    <w:rsid w:val="00035E81"/>
    <w:rsid w:val="00035EBE"/>
    <w:rsid w:val="0003637A"/>
    <w:rsid w:val="00036419"/>
    <w:rsid w:val="0003644A"/>
    <w:rsid w:val="00036465"/>
    <w:rsid w:val="00036731"/>
    <w:rsid w:val="000367C8"/>
    <w:rsid w:val="00036938"/>
    <w:rsid w:val="00036E1A"/>
    <w:rsid w:val="00036E4F"/>
    <w:rsid w:val="00037003"/>
    <w:rsid w:val="000372EB"/>
    <w:rsid w:val="000374A3"/>
    <w:rsid w:val="000375C7"/>
    <w:rsid w:val="00037643"/>
    <w:rsid w:val="00037678"/>
    <w:rsid w:val="000376F1"/>
    <w:rsid w:val="000379A1"/>
    <w:rsid w:val="00037C6D"/>
    <w:rsid w:val="00037CB1"/>
    <w:rsid w:val="00037ED0"/>
    <w:rsid w:val="00040E3F"/>
    <w:rsid w:val="00040F40"/>
    <w:rsid w:val="0004188E"/>
    <w:rsid w:val="000418EB"/>
    <w:rsid w:val="000419EF"/>
    <w:rsid w:val="00041DC8"/>
    <w:rsid w:val="00041E68"/>
    <w:rsid w:val="00041F3F"/>
    <w:rsid w:val="00041FFB"/>
    <w:rsid w:val="0004212B"/>
    <w:rsid w:val="00042259"/>
    <w:rsid w:val="000425D2"/>
    <w:rsid w:val="0004264C"/>
    <w:rsid w:val="00042735"/>
    <w:rsid w:val="00042CD6"/>
    <w:rsid w:val="00042D66"/>
    <w:rsid w:val="00042DF7"/>
    <w:rsid w:val="00042E0E"/>
    <w:rsid w:val="00042E31"/>
    <w:rsid w:val="00042E32"/>
    <w:rsid w:val="0004311D"/>
    <w:rsid w:val="00043219"/>
    <w:rsid w:val="000432ED"/>
    <w:rsid w:val="000437ED"/>
    <w:rsid w:val="0004396F"/>
    <w:rsid w:val="00043978"/>
    <w:rsid w:val="00043A64"/>
    <w:rsid w:val="00043EB8"/>
    <w:rsid w:val="000440CB"/>
    <w:rsid w:val="00044101"/>
    <w:rsid w:val="000443A7"/>
    <w:rsid w:val="000443CB"/>
    <w:rsid w:val="00044633"/>
    <w:rsid w:val="000446DB"/>
    <w:rsid w:val="000447BB"/>
    <w:rsid w:val="00044937"/>
    <w:rsid w:val="00044A3C"/>
    <w:rsid w:val="00044A89"/>
    <w:rsid w:val="00044BD1"/>
    <w:rsid w:val="00044D02"/>
    <w:rsid w:val="00044D92"/>
    <w:rsid w:val="0004504A"/>
    <w:rsid w:val="0004518B"/>
    <w:rsid w:val="00045193"/>
    <w:rsid w:val="000451EB"/>
    <w:rsid w:val="0004536F"/>
    <w:rsid w:val="00045696"/>
    <w:rsid w:val="00045842"/>
    <w:rsid w:val="00045AD8"/>
    <w:rsid w:val="00045B4B"/>
    <w:rsid w:val="00045C00"/>
    <w:rsid w:val="00045C2E"/>
    <w:rsid w:val="00045F68"/>
    <w:rsid w:val="0004633F"/>
    <w:rsid w:val="000464A5"/>
    <w:rsid w:val="000464AD"/>
    <w:rsid w:val="00046617"/>
    <w:rsid w:val="000469D3"/>
    <w:rsid w:val="00046D09"/>
    <w:rsid w:val="00046E28"/>
    <w:rsid w:val="00046F00"/>
    <w:rsid w:val="00046FED"/>
    <w:rsid w:val="00047010"/>
    <w:rsid w:val="00047118"/>
    <w:rsid w:val="00047975"/>
    <w:rsid w:val="00047C49"/>
    <w:rsid w:val="000501BB"/>
    <w:rsid w:val="0005065F"/>
    <w:rsid w:val="00050674"/>
    <w:rsid w:val="000508FB"/>
    <w:rsid w:val="00050B0F"/>
    <w:rsid w:val="0005121A"/>
    <w:rsid w:val="00051258"/>
    <w:rsid w:val="000515FD"/>
    <w:rsid w:val="00051784"/>
    <w:rsid w:val="00051917"/>
    <w:rsid w:val="00051DCE"/>
    <w:rsid w:val="00051E21"/>
    <w:rsid w:val="00051F0C"/>
    <w:rsid w:val="00052174"/>
    <w:rsid w:val="00052181"/>
    <w:rsid w:val="000522D2"/>
    <w:rsid w:val="0005235A"/>
    <w:rsid w:val="000531B4"/>
    <w:rsid w:val="0005353C"/>
    <w:rsid w:val="000535BF"/>
    <w:rsid w:val="000537EE"/>
    <w:rsid w:val="00053C4A"/>
    <w:rsid w:val="00053F9B"/>
    <w:rsid w:val="00054046"/>
    <w:rsid w:val="000541B8"/>
    <w:rsid w:val="00054372"/>
    <w:rsid w:val="00054621"/>
    <w:rsid w:val="000546CE"/>
    <w:rsid w:val="000548BC"/>
    <w:rsid w:val="00054D4C"/>
    <w:rsid w:val="000553A7"/>
    <w:rsid w:val="0005575A"/>
    <w:rsid w:val="0005577C"/>
    <w:rsid w:val="00055958"/>
    <w:rsid w:val="00055CAD"/>
    <w:rsid w:val="00055D4C"/>
    <w:rsid w:val="00056045"/>
    <w:rsid w:val="0005621F"/>
    <w:rsid w:val="00056321"/>
    <w:rsid w:val="000564AC"/>
    <w:rsid w:val="00056B74"/>
    <w:rsid w:val="00056C6A"/>
    <w:rsid w:val="00056D15"/>
    <w:rsid w:val="00056E9A"/>
    <w:rsid w:val="00056F1B"/>
    <w:rsid w:val="000571A3"/>
    <w:rsid w:val="000571D8"/>
    <w:rsid w:val="000574D9"/>
    <w:rsid w:val="0005794D"/>
    <w:rsid w:val="00057BF0"/>
    <w:rsid w:val="00057E4E"/>
    <w:rsid w:val="00060032"/>
    <w:rsid w:val="00060046"/>
    <w:rsid w:val="000602F4"/>
    <w:rsid w:val="0006054A"/>
    <w:rsid w:val="00060C8F"/>
    <w:rsid w:val="00060C96"/>
    <w:rsid w:val="00060CAD"/>
    <w:rsid w:val="00060DF7"/>
    <w:rsid w:val="00060E70"/>
    <w:rsid w:val="00060EDF"/>
    <w:rsid w:val="00060F29"/>
    <w:rsid w:val="00061255"/>
    <w:rsid w:val="000613E2"/>
    <w:rsid w:val="00061716"/>
    <w:rsid w:val="000617F5"/>
    <w:rsid w:val="00061901"/>
    <w:rsid w:val="00061996"/>
    <w:rsid w:val="00061A96"/>
    <w:rsid w:val="00061B1D"/>
    <w:rsid w:val="00061C02"/>
    <w:rsid w:val="00061C9A"/>
    <w:rsid w:val="00061CD0"/>
    <w:rsid w:val="00061D47"/>
    <w:rsid w:val="00061FDD"/>
    <w:rsid w:val="00062017"/>
    <w:rsid w:val="000620EF"/>
    <w:rsid w:val="000622B7"/>
    <w:rsid w:val="000622E1"/>
    <w:rsid w:val="00062635"/>
    <w:rsid w:val="00062739"/>
    <w:rsid w:val="0006295E"/>
    <w:rsid w:val="00062E5B"/>
    <w:rsid w:val="00063347"/>
    <w:rsid w:val="000634B1"/>
    <w:rsid w:val="000634D9"/>
    <w:rsid w:val="000635B5"/>
    <w:rsid w:val="00063693"/>
    <w:rsid w:val="000637DE"/>
    <w:rsid w:val="00063AFE"/>
    <w:rsid w:val="00063C95"/>
    <w:rsid w:val="00063D63"/>
    <w:rsid w:val="00063F65"/>
    <w:rsid w:val="00063F97"/>
    <w:rsid w:val="0006474F"/>
    <w:rsid w:val="00064A01"/>
    <w:rsid w:val="00064CA9"/>
    <w:rsid w:val="00065181"/>
    <w:rsid w:val="000652B6"/>
    <w:rsid w:val="00065437"/>
    <w:rsid w:val="000656FE"/>
    <w:rsid w:val="0006599B"/>
    <w:rsid w:val="00065A12"/>
    <w:rsid w:val="00065E4B"/>
    <w:rsid w:val="00065E87"/>
    <w:rsid w:val="00065F5F"/>
    <w:rsid w:val="00066007"/>
    <w:rsid w:val="00066210"/>
    <w:rsid w:val="00066555"/>
    <w:rsid w:val="000669FC"/>
    <w:rsid w:val="00066ADD"/>
    <w:rsid w:val="00066E12"/>
    <w:rsid w:val="00066E1C"/>
    <w:rsid w:val="00066EB9"/>
    <w:rsid w:val="00066FAE"/>
    <w:rsid w:val="00066FEA"/>
    <w:rsid w:val="00067064"/>
    <w:rsid w:val="00067932"/>
    <w:rsid w:val="00067AB2"/>
    <w:rsid w:val="00067BE2"/>
    <w:rsid w:val="00067C44"/>
    <w:rsid w:val="000700E6"/>
    <w:rsid w:val="00070123"/>
    <w:rsid w:val="000704AE"/>
    <w:rsid w:val="00070C6C"/>
    <w:rsid w:val="00070F0B"/>
    <w:rsid w:val="00070F25"/>
    <w:rsid w:val="00070FED"/>
    <w:rsid w:val="000711D8"/>
    <w:rsid w:val="0007140F"/>
    <w:rsid w:val="000716BC"/>
    <w:rsid w:val="0007172C"/>
    <w:rsid w:val="00071CF0"/>
    <w:rsid w:val="00071D69"/>
    <w:rsid w:val="00071E4D"/>
    <w:rsid w:val="0007204F"/>
    <w:rsid w:val="0007209E"/>
    <w:rsid w:val="000722C7"/>
    <w:rsid w:val="000724B7"/>
    <w:rsid w:val="00072622"/>
    <w:rsid w:val="0007286B"/>
    <w:rsid w:val="000728EA"/>
    <w:rsid w:val="0007292F"/>
    <w:rsid w:val="00072A3B"/>
    <w:rsid w:val="00072A3E"/>
    <w:rsid w:val="00072BDE"/>
    <w:rsid w:val="00073864"/>
    <w:rsid w:val="00073A84"/>
    <w:rsid w:val="00074040"/>
    <w:rsid w:val="00074141"/>
    <w:rsid w:val="00074180"/>
    <w:rsid w:val="000741A8"/>
    <w:rsid w:val="00074355"/>
    <w:rsid w:val="000744F1"/>
    <w:rsid w:val="0007451A"/>
    <w:rsid w:val="000745C2"/>
    <w:rsid w:val="00074679"/>
    <w:rsid w:val="00074786"/>
    <w:rsid w:val="000747EF"/>
    <w:rsid w:val="00074A45"/>
    <w:rsid w:val="00074F4A"/>
    <w:rsid w:val="000750C3"/>
    <w:rsid w:val="0007522E"/>
    <w:rsid w:val="00075477"/>
    <w:rsid w:val="00075526"/>
    <w:rsid w:val="0007555D"/>
    <w:rsid w:val="00075D4C"/>
    <w:rsid w:val="00075D7C"/>
    <w:rsid w:val="00075F4E"/>
    <w:rsid w:val="0007605B"/>
    <w:rsid w:val="00076406"/>
    <w:rsid w:val="0007662C"/>
    <w:rsid w:val="000769E3"/>
    <w:rsid w:val="000769E9"/>
    <w:rsid w:val="00076AA6"/>
    <w:rsid w:val="00076B22"/>
    <w:rsid w:val="00076BA6"/>
    <w:rsid w:val="00076C02"/>
    <w:rsid w:val="00076FAB"/>
    <w:rsid w:val="00076FED"/>
    <w:rsid w:val="0007716E"/>
    <w:rsid w:val="0007771A"/>
    <w:rsid w:val="0007774A"/>
    <w:rsid w:val="00077817"/>
    <w:rsid w:val="000778E2"/>
    <w:rsid w:val="00077A18"/>
    <w:rsid w:val="00077A54"/>
    <w:rsid w:val="00077AF6"/>
    <w:rsid w:val="00077B14"/>
    <w:rsid w:val="00077B58"/>
    <w:rsid w:val="00077CAE"/>
    <w:rsid w:val="00077E55"/>
    <w:rsid w:val="00080585"/>
    <w:rsid w:val="00080736"/>
    <w:rsid w:val="000807DB"/>
    <w:rsid w:val="00080A55"/>
    <w:rsid w:val="00080CEF"/>
    <w:rsid w:val="00080D31"/>
    <w:rsid w:val="00080DAF"/>
    <w:rsid w:val="00080F86"/>
    <w:rsid w:val="00081037"/>
    <w:rsid w:val="00081084"/>
    <w:rsid w:val="00081256"/>
    <w:rsid w:val="000815F6"/>
    <w:rsid w:val="00081695"/>
    <w:rsid w:val="00081C2A"/>
    <w:rsid w:val="00081E3A"/>
    <w:rsid w:val="00081E40"/>
    <w:rsid w:val="00081E91"/>
    <w:rsid w:val="00081F9F"/>
    <w:rsid w:val="00082033"/>
    <w:rsid w:val="000820C9"/>
    <w:rsid w:val="000822B0"/>
    <w:rsid w:val="00082388"/>
    <w:rsid w:val="00082F33"/>
    <w:rsid w:val="000834BA"/>
    <w:rsid w:val="000839BA"/>
    <w:rsid w:val="00083D86"/>
    <w:rsid w:val="00083E37"/>
    <w:rsid w:val="0008454E"/>
    <w:rsid w:val="00084811"/>
    <w:rsid w:val="00084930"/>
    <w:rsid w:val="00084A37"/>
    <w:rsid w:val="00084A66"/>
    <w:rsid w:val="00084C37"/>
    <w:rsid w:val="00084F70"/>
    <w:rsid w:val="00084FA8"/>
    <w:rsid w:val="000850A1"/>
    <w:rsid w:val="00085A8F"/>
    <w:rsid w:val="00085B84"/>
    <w:rsid w:val="00085C29"/>
    <w:rsid w:val="00085C54"/>
    <w:rsid w:val="00085E08"/>
    <w:rsid w:val="00086265"/>
    <w:rsid w:val="000863DF"/>
    <w:rsid w:val="00086515"/>
    <w:rsid w:val="00086595"/>
    <w:rsid w:val="00086E0A"/>
    <w:rsid w:val="00086E3F"/>
    <w:rsid w:val="000871BF"/>
    <w:rsid w:val="0008732D"/>
    <w:rsid w:val="00087433"/>
    <w:rsid w:val="000874F0"/>
    <w:rsid w:val="0008767F"/>
    <w:rsid w:val="0008781C"/>
    <w:rsid w:val="00087A60"/>
    <w:rsid w:val="00087BFC"/>
    <w:rsid w:val="00087C83"/>
    <w:rsid w:val="00087CB6"/>
    <w:rsid w:val="00090018"/>
    <w:rsid w:val="000907AD"/>
    <w:rsid w:val="00090840"/>
    <w:rsid w:val="00090C30"/>
    <w:rsid w:val="00090D34"/>
    <w:rsid w:val="00090EF4"/>
    <w:rsid w:val="00090F7E"/>
    <w:rsid w:val="00090FFD"/>
    <w:rsid w:val="000910A4"/>
    <w:rsid w:val="00091813"/>
    <w:rsid w:val="00091F27"/>
    <w:rsid w:val="0009232D"/>
    <w:rsid w:val="000927CF"/>
    <w:rsid w:val="00092C5A"/>
    <w:rsid w:val="00092CF2"/>
    <w:rsid w:val="00093072"/>
    <w:rsid w:val="000931AC"/>
    <w:rsid w:val="00093418"/>
    <w:rsid w:val="0009368B"/>
    <w:rsid w:val="0009377E"/>
    <w:rsid w:val="00093798"/>
    <w:rsid w:val="000938B2"/>
    <w:rsid w:val="000939F5"/>
    <w:rsid w:val="00093A6B"/>
    <w:rsid w:val="00093C58"/>
    <w:rsid w:val="00093C87"/>
    <w:rsid w:val="0009403A"/>
    <w:rsid w:val="00094651"/>
    <w:rsid w:val="000948DC"/>
    <w:rsid w:val="00094E57"/>
    <w:rsid w:val="00094F20"/>
    <w:rsid w:val="00094F8D"/>
    <w:rsid w:val="00094FA3"/>
    <w:rsid w:val="0009530A"/>
    <w:rsid w:val="00095982"/>
    <w:rsid w:val="00095E2E"/>
    <w:rsid w:val="00095EA3"/>
    <w:rsid w:val="000960E6"/>
    <w:rsid w:val="00096474"/>
    <w:rsid w:val="00096651"/>
    <w:rsid w:val="00096A11"/>
    <w:rsid w:val="00096A69"/>
    <w:rsid w:val="00096A7C"/>
    <w:rsid w:val="00096B4B"/>
    <w:rsid w:val="00096EFB"/>
    <w:rsid w:val="00096F37"/>
    <w:rsid w:val="00097277"/>
    <w:rsid w:val="000973AE"/>
    <w:rsid w:val="000974E7"/>
    <w:rsid w:val="000975CE"/>
    <w:rsid w:val="0009783E"/>
    <w:rsid w:val="000979E3"/>
    <w:rsid w:val="00097BE5"/>
    <w:rsid w:val="00097C55"/>
    <w:rsid w:val="00097CCE"/>
    <w:rsid w:val="00097F96"/>
    <w:rsid w:val="000A0347"/>
    <w:rsid w:val="000A043D"/>
    <w:rsid w:val="000A0A3D"/>
    <w:rsid w:val="000A0BB7"/>
    <w:rsid w:val="000A0F0F"/>
    <w:rsid w:val="000A10C3"/>
    <w:rsid w:val="000A1119"/>
    <w:rsid w:val="000A124D"/>
    <w:rsid w:val="000A1658"/>
    <w:rsid w:val="000A16A9"/>
    <w:rsid w:val="000A1731"/>
    <w:rsid w:val="000A17D4"/>
    <w:rsid w:val="000A17E2"/>
    <w:rsid w:val="000A1990"/>
    <w:rsid w:val="000A1DB8"/>
    <w:rsid w:val="000A1DC8"/>
    <w:rsid w:val="000A1E09"/>
    <w:rsid w:val="000A1E2A"/>
    <w:rsid w:val="000A1E67"/>
    <w:rsid w:val="000A1E7D"/>
    <w:rsid w:val="000A2457"/>
    <w:rsid w:val="000A24D4"/>
    <w:rsid w:val="000A26ED"/>
    <w:rsid w:val="000A2770"/>
    <w:rsid w:val="000A27DF"/>
    <w:rsid w:val="000A2F73"/>
    <w:rsid w:val="000A3134"/>
    <w:rsid w:val="000A31C8"/>
    <w:rsid w:val="000A34EC"/>
    <w:rsid w:val="000A36EC"/>
    <w:rsid w:val="000A37B3"/>
    <w:rsid w:val="000A37B4"/>
    <w:rsid w:val="000A37C6"/>
    <w:rsid w:val="000A39E6"/>
    <w:rsid w:val="000A3B14"/>
    <w:rsid w:val="000A3B8A"/>
    <w:rsid w:val="000A3D37"/>
    <w:rsid w:val="000A3DD0"/>
    <w:rsid w:val="000A3F8C"/>
    <w:rsid w:val="000A3FD0"/>
    <w:rsid w:val="000A4158"/>
    <w:rsid w:val="000A4B88"/>
    <w:rsid w:val="000A4C56"/>
    <w:rsid w:val="000A51C4"/>
    <w:rsid w:val="000A523C"/>
    <w:rsid w:val="000A6047"/>
    <w:rsid w:val="000A6254"/>
    <w:rsid w:val="000A641A"/>
    <w:rsid w:val="000A64E2"/>
    <w:rsid w:val="000A674D"/>
    <w:rsid w:val="000A6BC4"/>
    <w:rsid w:val="000A6CFE"/>
    <w:rsid w:val="000A7061"/>
    <w:rsid w:val="000A7099"/>
    <w:rsid w:val="000A7C59"/>
    <w:rsid w:val="000A7D43"/>
    <w:rsid w:val="000A7D8F"/>
    <w:rsid w:val="000A7EE0"/>
    <w:rsid w:val="000B0271"/>
    <w:rsid w:val="000B0335"/>
    <w:rsid w:val="000B033D"/>
    <w:rsid w:val="000B0441"/>
    <w:rsid w:val="000B0617"/>
    <w:rsid w:val="000B0D0B"/>
    <w:rsid w:val="000B1020"/>
    <w:rsid w:val="000B123F"/>
    <w:rsid w:val="000B1288"/>
    <w:rsid w:val="000B1477"/>
    <w:rsid w:val="000B14BA"/>
    <w:rsid w:val="000B14F5"/>
    <w:rsid w:val="000B1675"/>
    <w:rsid w:val="000B1795"/>
    <w:rsid w:val="000B18A9"/>
    <w:rsid w:val="000B1979"/>
    <w:rsid w:val="000B1996"/>
    <w:rsid w:val="000B1CA8"/>
    <w:rsid w:val="000B1D38"/>
    <w:rsid w:val="000B1DDF"/>
    <w:rsid w:val="000B204F"/>
    <w:rsid w:val="000B2204"/>
    <w:rsid w:val="000B25D5"/>
    <w:rsid w:val="000B26EA"/>
    <w:rsid w:val="000B2B57"/>
    <w:rsid w:val="000B2EC4"/>
    <w:rsid w:val="000B2F02"/>
    <w:rsid w:val="000B30AA"/>
    <w:rsid w:val="000B3176"/>
    <w:rsid w:val="000B35A7"/>
    <w:rsid w:val="000B3937"/>
    <w:rsid w:val="000B3C9D"/>
    <w:rsid w:val="000B3DD9"/>
    <w:rsid w:val="000B4348"/>
    <w:rsid w:val="000B4518"/>
    <w:rsid w:val="000B4570"/>
    <w:rsid w:val="000B4621"/>
    <w:rsid w:val="000B48E7"/>
    <w:rsid w:val="000B48FC"/>
    <w:rsid w:val="000B4911"/>
    <w:rsid w:val="000B5793"/>
    <w:rsid w:val="000B59E9"/>
    <w:rsid w:val="000B5A44"/>
    <w:rsid w:val="000B5C83"/>
    <w:rsid w:val="000B5CAE"/>
    <w:rsid w:val="000B5D6A"/>
    <w:rsid w:val="000B5EDD"/>
    <w:rsid w:val="000B610D"/>
    <w:rsid w:val="000B6328"/>
    <w:rsid w:val="000B63BB"/>
    <w:rsid w:val="000B63F2"/>
    <w:rsid w:val="000B669E"/>
    <w:rsid w:val="000B68B3"/>
    <w:rsid w:val="000B6CC3"/>
    <w:rsid w:val="000B6D95"/>
    <w:rsid w:val="000B711B"/>
    <w:rsid w:val="000B73D2"/>
    <w:rsid w:val="000B7475"/>
    <w:rsid w:val="000B75BA"/>
    <w:rsid w:val="000B7750"/>
    <w:rsid w:val="000B7A83"/>
    <w:rsid w:val="000B7C78"/>
    <w:rsid w:val="000B7DA1"/>
    <w:rsid w:val="000B7EF7"/>
    <w:rsid w:val="000B7F6D"/>
    <w:rsid w:val="000C0015"/>
    <w:rsid w:val="000C0131"/>
    <w:rsid w:val="000C013B"/>
    <w:rsid w:val="000C02CF"/>
    <w:rsid w:val="000C0443"/>
    <w:rsid w:val="000C044F"/>
    <w:rsid w:val="000C0BC4"/>
    <w:rsid w:val="000C0C2C"/>
    <w:rsid w:val="000C0D59"/>
    <w:rsid w:val="000C0D98"/>
    <w:rsid w:val="000C0DA9"/>
    <w:rsid w:val="000C0E90"/>
    <w:rsid w:val="000C101A"/>
    <w:rsid w:val="000C1960"/>
    <w:rsid w:val="000C1AE6"/>
    <w:rsid w:val="000C24BB"/>
    <w:rsid w:val="000C2509"/>
    <w:rsid w:val="000C2515"/>
    <w:rsid w:val="000C2676"/>
    <w:rsid w:val="000C29E9"/>
    <w:rsid w:val="000C2DD4"/>
    <w:rsid w:val="000C2FF0"/>
    <w:rsid w:val="000C34CB"/>
    <w:rsid w:val="000C365D"/>
    <w:rsid w:val="000C367B"/>
    <w:rsid w:val="000C38A5"/>
    <w:rsid w:val="000C39B2"/>
    <w:rsid w:val="000C3A62"/>
    <w:rsid w:val="000C3B03"/>
    <w:rsid w:val="000C40AF"/>
    <w:rsid w:val="000C4277"/>
    <w:rsid w:val="000C4303"/>
    <w:rsid w:val="000C44D1"/>
    <w:rsid w:val="000C456A"/>
    <w:rsid w:val="000C46C3"/>
    <w:rsid w:val="000C4A39"/>
    <w:rsid w:val="000C59AC"/>
    <w:rsid w:val="000C5A2E"/>
    <w:rsid w:val="000C5E2B"/>
    <w:rsid w:val="000C5E73"/>
    <w:rsid w:val="000C5F99"/>
    <w:rsid w:val="000C60FC"/>
    <w:rsid w:val="000C6101"/>
    <w:rsid w:val="000C61C4"/>
    <w:rsid w:val="000C6314"/>
    <w:rsid w:val="000C6456"/>
    <w:rsid w:val="000C6614"/>
    <w:rsid w:val="000C7300"/>
    <w:rsid w:val="000C73EE"/>
    <w:rsid w:val="000C7605"/>
    <w:rsid w:val="000C775F"/>
    <w:rsid w:val="000C79F6"/>
    <w:rsid w:val="000C7BF8"/>
    <w:rsid w:val="000D0060"/>
    <w:rsid w:val="000D0430"/>
    <w:rsid w:val="000D0458"/>
    <w:rsid w:val="000D0629"/>
    <w:rsid w:val="000D0825"/>
    <w:rsid w:val="000D0977"/>
    <w:rsid w:val="000D0B61"/>
    <w:rsid w:val="000D0B94"/>
    <w:rsid w:val="000D0C08"/>
    <w:rsid w:val="000D0E6B"/>
    <w:rsid w:val="000D1725"/>
    <w:rsid w:val="000D1B88"/>
    <w:rsid w:val="000D1E0A"/>
    <w:rsid w:val="000D2075"/>
    <w:rsid w:val="000D22B9"/>
    <w:rsid w:val="000D24CD"/>
    <w:rsid w:val="000D250D"/>
    <w:rsid w:val="000D2699"/>
    <w:rsid w:val="000D277D"/>
    <w:rsid w:val="000D2A12"/>
    <w:rsid w:val="000D2B4B"/>
    <w:rsid w:val="000D2D2C"/>
    <w:rsid w:val="000D2F8E"/>
    <w:rsid w:val="000D2FF5"/>
    <w:rsid w:val="000D370F"/>
    <w:rsid w:val="000D386E"/>
    <w:rsid w:val="000D3B8D"/>
    <w:rsid w:val="000D409B"/>
    <w:rsid w:val="000D41AA"/>
    <w:rsid w:val="000D4760"/>
    <w:rsid w:val="000D47A3"/>
    <w:rsid w:val="000D55EE"/>
    <w:rsid w:val="000D564A"/>
    <w:rsid w:val="000D5828"/>
    <w:rsid w:val="000D5A1A"/>
    <w:rsid w:val="000D5F6B"/>
    <w:rsid w:val="000D6001"/>
    <w:rsid w:val="000D60AB"/>
    <w:rsid w:val="000D615F"/>
    <w:rsid w:val="000D67F7"/>
    <w:rsid w:val="000D68A3"/>
    <w:rsid w:val="000D6C25"/>
    <w:rsid w:val="000D7041"/>
    <w:rsid w:val="000D708F"/>
    <w:rsid w:val="000D7630"/>
    <w:rsid w:val="000D76C8"/>
    <w:rsid w:val="000D78D1"/>
    <w:rsid w:val="000D79D9"/>
    <w:rsid w:val="000D7B77"/>
    <w:rsid w:val="000D7BCF"/>
    <w:rsid w:val="000D7FBA"/>
    <w:rsid w:val="000E02CC"/>
    <w:rsid w:val="000E04BB"/>
    <w:rsid w:val="000E084A"/>
    <w:rsid w:val="000E0915"/>
    <w:rsid w:val="000E0B42"/>
    <w:rsid w:val="000E0D54"/>
    <w:rsid w:val="000E13D9"/>
    <w:rsid w:val="000E15C8"/>
    <w:rsid w:val="000E15F4"/>
    <w:rsid w:val="000E16EA"/>
    <w:rsid w:val="000E18D5"/>
    <w:rsid w:val="000E191C"/>
    <w:rsid w:val="000E1D55"/>
    <w:rsid w:val="000E2004"/>
    <w:rsid w:val="000E20CF"/>
    <w:rsid w:val="000E20EC"/>
    <w:rsid w:val="000E2224"/>
    <w:rsid w:val="000E2374"/>
    <w:rsid w:val="000E23F9"/>
    <w:rsid w:val="000E281F"/>
    <w:rsid w:val="000E2A08"/>
    <w:rsid w:val="000E2A20"/>
    <w:rsid w:val="000E2A33"/>
    <w:rsid w:val="000E2B12"/>
    <w:rsid w:val="000E2C6C"/>
    <w:rsid w:val="000E2D0E"/>
    <w:rsid w:val="000E3140"/>
    <w:rsid w:val="000E32FF"/>
    <w:rsid w:val="000E3321"/>
    <w:rsid w:val="000E3572"/>
    <w:rsid w:val="000E35D0"/>
    <w:rsid w:val="000E38D1"/>
    <w:rsid w:val="000E3B68"/>
    <w:rsid w:val="000E3CD6"/>
    <w:rsid w:val="000E3E2F"/>
    <w:rsid w:val="000E3E8C"/>
    <w:rsid w:val="000E407E"/>
    <w:rsid w:val="000E4108"/>
    <w:rsid w:val="000E4207"/>
    <w:rsid w:val="000E4CDE"/>
    <w:rsid w:val="000E4D3E"/>
    <w:rsid w:val="000E5088"/>
    <w:rsid w:val="000E51F1"/>
    <w:rsid w:val="000E52D5"/>
    <w:rsid w:val="000E5525"/>
    <w:rsid w:val="000E5573"/>
    <w:rsid w:val="000E5723"/>
    <w:rsid w:val="000E5BB7"/>
    <w:rsid w:val="000E5DD6"/>
    <w:rsid w:val="000E6086"/>
    <w:rsid w:val="000E6258"/>
    <w:rsid w:val="000E62D5"/>
    <w:rsid w:val="000E62F4"/>
    <w:rsid w:val="000E6347"/>
    <w:rsid w:val="000E66FE"/>
    <w:rsid w:val="000E69FA"/>
    <w:rsid w:val="000E6CDA"/>
    <w:rsid w:val="000E6DB3"/>
    <w:rsid w:val="000E6EA4"/>
    <w:rsid w:val="000E70D8"/>
    <w:rsid w:val="000E71C3"/>
    <w:rsid w:val="000E7514"/>
    <w:rsid w:val="000E76F3"/>
    <w:rsid w:val="000E77E9"/>
    <w:rsid w:val="000E77F5"/>
    <w:rsid w:val="000E794D"/>
    <w:rsid w:val="000E796B"/>
    <w:rsid w:val="000E79BA"/>
    <w:rsid w:val="000E7A17"/>
    <w:rsid w:val="000E7E59"/>
    <w:rsid w:val="000F0283"/>
    <w:rsid w:val="000F0470"/>
    <w:rsid w:val="000F0761"/>
    <w:rsid w:val="000F0A16"/>
    <w:rsid w:val="000F0C4D"/>
    <w:rsid w:val="000F0D8B"/>
    <w:rsid w:val="000F0E32"/>
    <w:rsid w:val="000F100C"/>
    <w:rsid w:val="000F10D3"/>
    <w:rsid w:val="000F161E"/>
    <w:rsid w:val="000F1C56"/>
    <w:rsid w:val="000F1D3D"/>
    <w:rsid w:val="000F1D53"/>
    <w:rsid w:val="000F2183"/>
    <w:rsid w:val="000F21B4"/>
    <w:rsid w:val="000F2267"/>
    <w:rsid w:val="000F275A"/>
    <w:rsid w:val="000F2762"/>
    <w:rsid w:val="000F2848"/>
    <w:rsid w:val="000F2BE5"/>
    <w:rsid w:val="000F2DCE"/>
    <w:rsid w:val="000F2F60"/>
    <w:rsid w:val="000F2FC9"/>
    <w:rsid w:val="000F301B"/>
    <w:rsid w:val="000F337A"/>
    <w:rsid w:val="000F345E"/>
    <w:rsid w:val="000F3503"/>
    <w:rsid w:val="000F3923"/>
    <w:rsid w:val="000F3AB2"/>
    <w:rsid w:val="000F3D7B"/>
    <w:rsid w:val="000F41F4"/>
    <w:rsid w:val="000F44E2"/>
    <w:rsid w:val="000F45CA"/>
    <w:rsid w:val="000F492E"/>
    <w:rsid w:val="000F4EF7"/>
    <w:rsid w:val="000F508E"/>
    <w:rsid w:val="000F5438"/>
    <w:rsid w:val="000F54CB"/>
    <w:rsid w:val="000F5990"/>
    <w:rsid w:val="000F5ABE"/>
    <w:rsid w:val="000F5BBB"/>
    <w:rsid w:val="000F63F0"/>
    <w:rsid w:val="000F6628"/>
    <w:rsid w:val="000F674E"/>
    <w:rsid w:val="000F6CB1"/>
    <w:rsid w:val="000F6E61"/>
    <w:rsid w:val="000F7031"/>
    <w:rsid w:val="000F72AA"/>
    <w:rsid w:val="000F72F3"/>
    <w:rsid w:val="000F74B3"/>
    <w:rsid w:val="000F74F8"/>
    <w:rsid w:val="000F798A"/>
    <w:rsid w:val="000F7BE3"/>
    <w:rsid w:val="00100258"/>
    <w:rsid w:val="00100327"/>
    <w:rsid w:val="0010033C"/>
    <w:rsid w:val="00100524"/>
    <w:rsid w:val="0010062F"/>
    <w:rsid w:val="00100787"/>
    <w:rsid w:val="00100921"/>
    <w:rsid w:val="00100A72"/>
    <w:rsid w:val="00100AD9"/>
    <w:rsid w:val="00100B85"/>
    <w:rsid w:val="00100CA9"/>
    <w:rsid w:val="00100D94"/>
    <w:rsid w:val="00100DE9"/>
    <w:rsid w:val="00101342"/>
    <w:rsid w:val="0010136C"/>
    <w:rsid w:val="001013A5"/>
    <w:rsid w:val="001016E4"/>
    <w:rsid w:val="00101ABF"/>
    <w:rsid w:val="00101DBC"/>
    <w:rsid w:val="00101F25"/>
    <w:rsid w:val="00101FBD"/>
    <w:rsid w:val="00102218"/>
    <w:rsid w:val="00102848"/>
    <w:rsid w:val="0010288B"/>
    <w:rsid w:val="0010294E"/>
    <w:rsid w:val="00102A79"/>
    <w:rsid w:val="00102D9D"/>
    <w:rsid w:val="00102DD7"/>
    <w:rsid w:val="00102FE4"/>
    <w:rsid w:val="0010327F"/>
    <w:rsid w:val="001036A8"/>
    <w:rsid w:val="0010388C"/>
    <w:rsid w:val="001039CF"/>
    <w:rsid w:val="001040F4"/>
    <w:rsid w:val="0010425B"/>
    <w:rsid w:val="001045F0"/>
    <w:rsid w:val="00104680"/>
    <w:rsid w:val="00104867"/>
    <w:rsid w:val="00104906"/>
    <w:rsid w:val="00104B56"/>
    <w:rsid w:val="00104D4E"/>
    <w:rsid w:val="00104E45"/>
    <w:rsid w:val="00105368"/>
    <w:rsid w:val="0010544D"/>
    <w:rsid w:val="00105473"/>
    <w:rsid w:val="0010565C"/>
    <w:rsid w:val="0010566D"/>
    <w:rsid w:val="001056A8"/>
    <w:rsid w:val="001057DE"/>
    <w:rsid w:val="00105AC6"/>
    <w:rsid w:val="00105BAF"/>
    <w:rsid w:val="001064CD"/>
    <w:rsid w:val="00106658"/>
    <w:rsid w:val="00106725"/>
    <w:rsid w:val="00106830"/>
    <w:rsid w:val="00106852"/>
    <w:rsid w:val="0010687A"/>
    <w:rsid w:val="00106F36"/>
    <w:rsid w:val="001073EA"/>
    <w:rsid w:val="001073F8"/>
    <w:rsid w:val="0010742F"/>
    <w:rsid w:val="001075D0"/>
    <w:rsid w:val="00107868"/>
    <w:rsid w:val="0010794B"/>
    <w:rsid w:val="00107B15"/>
    <w:rsid w:val="00107DC4"/>
    <w:rsid w:val="001100C9"/>
    <w:rsid w:val="00110841"/>
    <w:rsid w:val="00110D2D"/>
    <w:rsid w:val="00110DC5"/>
    <w:rsid w:val="00110EB3"/>
    <w:rsid w:val="00110F71"/>
    <w:rsid w:val="00110FA5"/>
    <w:rsid w:val="00111759"/>
    <w:rsid w:val="00111943"/>
    <w:rsid w:val="001119CC"/>
    <w:rsid w:val="00111A81"/>
    <w:rsid w:val="00111FEA"/>
    <w:rsid w:val="001121B4"/>
    <w:rsid w:val="001123D9"/>
    <w:rsid w:val="00112716"/>
    <w:rsid w:val="001128F1"/>
    <w:rsid w:val="00112EE3"/>
    <w:rsid w:val="00112FA6"/>
    <w:rsid w:val="0011317B"/>
    <w:rsid w:val="001139A8"/>
    <w:rsid w:val="00113B83"/>
    <w:rsid w:val="00113BD2"/>
    <w:rsid w:val="00113D95"/>
    <w:rsid w:val="00113D96"/>
    <w:rsid w:val="00113EBA"/>
    <w:rsid w:val="00114214"/>
    <w:rsid w:val="0011455E"/>
    <w:rsid w:val="00114B32"/>
    <w:rsid w:val="00114C6E"/>
    <w:rsid w:val="00114D4E"/>
    <w:rsid w:val="00114D51"/>
    <w:rsid w:val="00114E83"/>
    <w:rsid w:val="00114EAB"/>
    <w:rsid w:val="00115037"/>
    <w:rsid w:val="001150D4"/>
    <w:rsid w:val="00115207"/>
    <w:rsid w:val="00115224"/>
    <w:rsid w:val="00115EF4"/>
    <w:rsid w:val="0011623A"/>
    <w:rsid w:val="001164A3"/>
    <w:rsid w:val="001169E7"/>
    <w:rsid w:val="00116A7E"/>
    <w:rsid w:val="00116DF2"/>
    <w:rsid w:val="00116FC1"/>
    <w:rsid w:val="0011721C"/>
    <w:rsid w:val="0011776E"/>
    <w:rsid w:val="001179D8"/>
    <w:rsid w:val="00117F4B"/>
    <w:rsid w:val="0012004B"/>
    <w:rsid w:val="00120227"/>
    <w:rsid w:val="00120A18"/>
    <w:rsid w:val="00120A4E"/>
    <w:rsid w:val="00121611"/>
    <w:rsid w:val="0012178C"/>
    <w:rsid w:val="0012185B"/>
    <w:rsid w:val="00121865"/>
    <w:rsid w:val="001219AF"/>
    <w:rsid w:val="00121B81"/>
    <w:rsid w:val="00121C84"/>
    <w:rsid w:val="001225EA"/>
    <w:rsid w:val="00122EDC"/>
    <w:rsid w:val="00123175"/>
    <w:rsid w:val="00123545"/>
    <w:rsid w:val="00123658"/>
    <w:rsid w:val="0012380C"/>
    <w:rsid w:val="00123A6F"/>
    <w:rsid w:val="00123CDE"/>
    <w:rsid w:val="00123E6D"/>
    <w:rsid w:val="00123FCA"/>
    <w:rsid w:val="00123FED"/>
    <w:rsid w:val="001241F8"/>
    <w:rsid w:val="001244D5"/>
    <w:rsid w:val="0012452C"/>
    <w:rsid w:val="00124547"/>
    <w:rsid w:val="00124666"/>
    <w:rsid w:val="001246F7"/>
    <w:rsid w:val="00124902"/>
    <w:rsid w:val="001249A0"/>
    <w:rsid w:val="00124CEA"/>
    <w:rsid w:val="00124DF1"/>
    <w:rsid w:val="00124E11"/>
    <w:rsid w:val="0012509D"/>
    <w:rsid w:val="0012551B"/>
    <w:rsid w:val="0012555C"/>
    <w:rsid w:val="001256AC"/>
    <w:rsid w:val="00125787"/>
    <w:rsid w:val="0012585F"/>
    <w:rsid w:val="00125DA0"/>
    <w:rsid w:val="00125F71"/>
    <w:rsid w:val="00125FE6"/>
    <w:rsid w:val="00126350"/>
    <w:rsid w:val="00126370"/>
    <w:rsid w:val="001265DD"/>
    <w:rsid w:val="0012673F"/>
    <w:rsid w:val="00126C48"/>
    <w:rsid w:val="00126E3B"/>
    <w:rsid w:val="00126E4D"/>
    <w:rsid w:val="0012703B"/>
    <w:rsid w:val="0012706D"/>
    <w:rsid w:val="0012713F"/>
    <w:rsid w:val="001271F0"/>
    <w:rsid w:val="00127255"/>
    <w:rsid w:val="00127481"/>
    <w:rsid w:val="0012755A"/>
    <w:rsid w:val="0012761C"/>
    <w:rsid w:val="001276D9"/>
    <w:rsid w:val="00127A45"/>
    <w:rsid w:val="00127B9E"/>
    <w:rsid w:val="00127DFB"/>
    <w:rsid w:val="00127FBC"/>
    <w:rsid w:val="00130100"/>
    <w:rsid w:val="00130284"/>
    <w:rsid w:val="001303D1"/>
    <w:rsid w:val="001303DA"/>
    <w:rsid w:val="001304CD"/>
    <w:rsid w:val="0013078F"/>
    <w:rsid w:val="001309F2"/>
    <w:rsid w:val="00130B52"/>
    <w:rsid w:val="00130C26"/>
    <w:rsid w:val="00130DA0"/>
    <w:rsid w:val="00130DD7"/>
    <w:rsid w:val="00130DEB"/>
    <w:rsid w:val="00130EF2"/>
    <w:rsid w:val="00130FB4"/>
    <w:rsid w:val="001313DE"/>
    <w:rsid w:val="001313E9"/>
    <w:rsid w:val="00131637"/>
    <w:rsid w:val="001316E4"/>
    <w:rsid w:val="00131743"/>
    <w:rsid w:val="001317DC"/>
    <w:rsid w:val="00131874"/>
    <w:rsid w:val="00131944"/>
    <w:rsid w:val="00131B15"/>
    <w:rsid w:val="00131E2F"/>
    <w:rsid w:val="00131FA2"/>
    <w:rsid w:val="001322A6"/>
    <w:rsid w:val="00132463"/>
    <w:rsid w:val="00132685"/>
    <w:rsid w:val="00132690"/>
    <w:rsid w:val="001326A8"/>
    <w:rsid w:val="0013274D"/>
    <w:rsid w:val="00132A87"/>
    <w:rsid w:val="00132C65"/>
    <w:rsid w:val="00133612"/>
    <w:rsid w:val="00133619"/>
    <w:rsid w:val="00133BDC"/>
    <w:rsid w:val="00133C31"/>
    <w:rsid w:val="00133D21"/>
    <w:rsid w:val="00133EC4"/>
    <w:rsid w:val="00133EFF"/>
    <w:rsid w:val="0013418D"/>
    <w:rsid w:val="00134541"/>
    <w:rsid w:val="00134616"/>
    <w:rsid w:val="00134816"/>
    <w:rsid w:val="00134A0E"/>
    <w:rsid w:val="00134B67"/>
    <w:rsid w:val="00134BEF"/>
    <w:rsid w:val="00134EE5"/>
    <w:rsid w:val="00134F14"/>
    <w:rsid w:val="001353AE"/>
    <w:rsid w:val="00135570"/>
    <w:rsid w:val="0013560C"/>
    <w:rsid w:val="00135B29"/>
    <w:rsid w:val="00135C1C"/>
    <w:rsid w:val="00136187"/>
    <w:rsid w:val="00136193"/>
    <w:rsid w:val="0013620A"/>
    <w:rsid w:val="001364F5"/>
    <w:rsid w:val="00136667"/>
    <w:rsid w:val="001366EB"/>
    <w:rsid w:val="0013684C"/>
    <w:rsid w:val="001368DE"/>
    <w:rsid w:val="00136FFC"/>
    <w:rsid w:val="0013728C"/>
    <w:rsid w:val="00137813"/>
    <w:rsid w:val="00137A85"/>
    <w:rsid w:val="00137D2C"/>
    <w:rsid w:val="00137D2F"/>
    <w:rsid w:val="00137D9D"/>
    <w:rsid w:val="001400D7"/>
    <w:rsid w:val="0014017B"/>
    <w:rsid w:val="00140856"/>
    <w:rsid w:val="001408F3"/>
    <w:rsid w:val="00140969"/>
    <w:rsid w:val="00140E85"/>
    <w:rsid w:val="0014109E"/>
    <w:rsid w:val="0014116E"/>
    <w:rsid w:val="00141323"/>
    <w:rsid w:val="001417A5"/>
    <w:rsid w:val="001417D0"/>
    <w:rsid w:val="00141D13"/>
    <w:rsid w:val="00141D55"/>
    <w:rsid w:val="00141E26"/>
    <w:rsid w:val="00141FAC"/>
    <w:rsid w:val="00141FAE"/>
    <w:rsid w:val="001423B9"/>
    <w:rsid w:val="0014249D"/>
    <w:rsid w:val="001424F0"/>
    <w:rsid w:val="00142500"/>
    <w:rsid w:val="00142E34"/>
    <w:rsid w:val="0014302B"/>
    <w:rsid w:val="001431D5"/>
    <w:rsid w:val="0014323C"/>
    <w:rsid w:val="00143786"/>
    <w:rsid w:val="001438D9"/>
    <w:rsid w:val="00143A6A"/>
    <w:rsid w:val="00143FFD"/>
    <w:rsid w:val="001442CB"/>
    <w:rsid w:val="00144318"/>
    <w:rsid w:val="001443A2"/>
    <w:rsid w:val="00144943"/>
    <w:rsid w:val="00144A9F"/>
    <w:rsid w:val="00144B6B"/>
    <w:rsid w:val="00144C3F"/>
    <w:rsid w:val="00144DC2"/>
    <w:rsid w:val="00144F56"/>
    <w:rsid w:val="00144FDF"/>
    <w:rsid w:val="00145211"/>
    <w:rsid w:val="0014523F"/>
    <w:rsid w:val="001453D6"/>
    <w:rsid w:val="001455A2"/>
    <w:rsid w:val="00145768"/>
    <w:rsid w:val="001457E5"/>
    <w:rsid w:val="00145972"/>
    <w:rsid w:val="00145AAD"/>
    <w:rsid w:val="00145AD2"/>
    <w:rsid w:val="00145BB5"/>
    <w:rsid w:val="00145E02"/>
    <w:rsid w:val="00145E97"/>
    <w:rsid w:val="00145F84"/>
    <w:rsid w:val="00145FE8"/>
    <w:rsid w:val="00145FF0"/>
    <w:rsid w:val="001461A1"/>
    <w:rsid w:val="001463BB"/>
    <w:rsid w:val="0014646D"/>
    <w:rsid w:val="001466D1"/>
    <w:rsid w:val="001469B7"/>
    <w:rsid w:val="00146A85"/>
    <w:rsid w:val="00146A8E"/>
    <w:rsid w:val="00146C08"/>
    <w:rsid w:val="00146DE3"/>
    <w:rsid w:val="0014710B"/>
    <w:rsid w:val="00147973"/>
    <w:rsid w:val="00147AFE"/>
    <w:rsid w:val="00147B38"/>
    <w:rsid w:val="00147E9B"/>
    <w:rsid w:val="0015008F"/>
    <w:rsid w:val="00150225"/>
    <w:rsid w:val="001502B5"/>
    <w:rsid w:val="001502E1"/>
    <w:rsid w:val="00150D7D"/>
    <w:rsid w:val="0015100E"/>
    <w:rsid w:val="00151029"/>
    <w:rsid w:val="0015122C"/>
    <w:rsid w:val="0015138A"/>
    <w:rsid w:val="001513B2"/>
    <w:rsid w:val="0015169D"/>
    <w:rsid w:val="0015186B"/>
    <w:rsid w:val="001519E4"/>
    <w:rsid w:val="00151AC6"/>
    <w:rsid w:val="00151B7D"/>
    <w:rsid w:val="00151BBB"/>
    <w:rsid w:val="00151DC9"/>
    <w:rsid w:val="001520B0"/>
    <w:rsid w:val="001520FE"/>
    <w:rsid w:val="00152282"/>
    <w:rsid w:val="0015231B"/>
    <w:rsid w:val="00152343"/>
    <w:rsid w:val="0015235E"/>
    <w:rsid w:val="00152552"/>
    <w:rsid w:val="001528DC"/>
    <w:rsid w:val="00152981"/>
    <w:rsid w:val="00152BBC"/>
    <w:rsid w:val="00152D15"/>
    <w:rsid w:val="00152D84"/>
    <w:rsid w:val="00152EAD"/>
    <w:rsid w:val="00152FF8"/>
    <w:rsid w:val="0015316D"/>
    <w:rsid w:val="00153331"/>
    <w:rsid w:val="00153494"/>
    <w:rsid w:val="00153AFA"/>
    <w:rsid w:val="00153C90"/>
    <w:rsid w:val="00153E1C"/>
    <w:rsid w:val="00153F82"/>
    <w:rsid w:val="00154087"/>
    <w:rsid w:val="001540A4"/>
    <w:rsid w:val="0015416B"/>
    <w:rsid w:val="001544B7"/>
    <w:rsid w:val="001544EC"/>
    <w:rsid w:val="001544F3"/>
    <w:rsid w:val="0015461F"/>
    <w:rsid w:val="001546D8"/>
    <w:rsid w:val="00154702"/>
    <w:rsid w:val="00154A29"/>
    <w:rsid w:val="00154B35"/>
    <w:rsid w:val="0015513A"/>
    <w:rsid w:val="001552A8"/>
    <w:rsid w:val="001556BF"/>
    <w:rsid w:val="00155C00"/>
    <w:rsid w:val="00155EF8"/>
    <w:rsid w:val="00155F73"/>
    <w:rsid w:val="001560F1"/>
    <w:rsid w:val="0015626A"/>
    <w:rsid w:val="001562A1"/>
    <w:rsid w:val="0015633A"/>
    <w:rsid w:val="0015695E"/>
    <w:rsid w:val="00156AA3"/>
    <w:rsid w:val="00156C33"/>
    <w:rsid w:val="00156E53"/>
    <w:rsid w:val="0015715C"/>
    <w:rsid w:val="00157862"/>
    <w:rsid w:val="001579F1"/>
    <w:rsid w:val="00157BA1"/>
    <w:rsid w:val="00157BDA"/>
    <w:rsid w:val="00157D15"/>
    <w:rsid w:val="00157EC7"/>
    <w:rsid w:val="00157F5B"/>
    <w:rsid w:val="001601B0"/>
    <w:rsid w:val="001601F5"/>
    <w:rsid w:val="00160216"/>
    <w:rsid w:val="0016050E"/>
    <w:rsid w:val="00160998"/>
    <w:rsid w:val="00160D42"/>
    <w:rsid w:val="00160F38"/>
    <w:rsid w:val="001612C8"/>
    <w:rsid w:val="001615E3"/>
    <w:rsid w:val="00161639"/>
    <w:rsid w:val="00161669"/>
    <w:rsid w:val="00161B08"/>
    <w:rsid w:val="00161D51"/>
    <w:rsid w:val="00161DAE"/>
    <w:rsid w:val="0016217A"/>
    <w:rsid w:val="00162187"/>
    <w:rsid w:val="00162728"/>
    <w:rsid w:val="00162759"/>
    <w:rsid w:val="00162C04"/>
    <w:rsid w:val="00162FA4"/>
    <w:rsid w:val="00162FA6"/>
    <w:rsid w:val="00162FC0"/>
    <w:rsid w:val="001630C4"/>
    <w:rsid w:val="00163654"/>
    <w:rsid w:val="001636D5"/>
    <w:rsid w:val="00163A55"/>
    <w:rsid w:val="00163A96"/>
    <w:rsid w:val="00163AFB"/>
    <w:rsid w:val="00163D53"/>
    <w:rsid w:val="00163FB2"/>
    <w:rsid w:val="0016412B"/>
    <w:rsid w:val="00164221"/>
    <w:rsid w:val="00164294"/>
    <w:rsid w:val="00164406"/>
    <w:rsid w:val="001644E4"/>
    <w:rsid w:val="00164569"/>
    <w:rsid w:val="00164D2C"/>
    <w:rsid w:val="00164EB9"/>
    <w:rsid w:val="00165057"/>
    <w:rsid w:val="00165160"/>
    <w:rsid w:val="00165412"/>
    <w:rsid w:val="00165509"/>
    <w:rsid w:val="001659A4"/>
    <w:rsid w:val="00165C57"/>
    <w:rsid w:val="00165C98"/>
    <w:rsid w:val="00165D92"/>
    <w:rsid w:val="00165F5E"/>
    <w:rsid w:val="0016600A"/>
    <w:rsid w:val="001662F4"/>
    <w:rsid w:val="001663AF"/>
    <w:rsid w:val="00166441"/>
    <w:rsid w:val="00166777"/>
    <w:rsid w:val="0016699D"/>
    <w:rsid w:val="00166CC2"/>
    <w:rsid w:val="00166E47"/>
    <w:rsid w:val="0016704E"/>
    <w:rsid w:val="0016724F"/>
    <w:rsid w:val="00167374"/>
    <w:rsid w:val="001676B6"/>
    <w:rsid w:val="001678E0"/>
    <w:rsid w:val="00167B3F"/>
    <w:rsid w:val="0017012D"/>
    <w:rsid w:val="001702E3"/>
    <w:rsid w:val="00170301"/>
    <w:rsid w:val="00170396"/>
    <w:rsid w:val="00170441"/>
    <w:rsid w:val="00170636"/>
    <w:rsid w:val="0017077A"/>
    <w:rsid w:val="00170C01"/>
    <w:rsid w:val="00170CE5"/>
    <w:rsid w:val="00170D2C"/>
    <w:rsid w:val="00171005"/>
    <w:rsid w:val="001716C0"/>
    <w:rsid w:val="00171739"/>
    <w:rsid w:val="00171861"/>
    <w:rsid w:val="00171DDE"/>
    <w:rsid w:val="00171EE0"/>
    <w:rsid w:val="00171EE7"/>
    <w:rsid w:val="00171FB7"/>
    <w:rsid w:val="00172070"/>
    <w:rsid w:val="001722BE"/>
    <w:rsid w:val="001728B5"/>
    <w:rsid w:val="0017299C"/>
    <w:rsid w:val="00172A27"/>
    <w:rsid w:val="001730A1"/>
    <w:rsid w:val="00173539"/>
    <w:rsid w:val="001742EB"/>
    <w:rsid w:val="00174323"/>
    <w:rsid w:val="001744B4"/>
    <w:rsid w:val="00174645"/>
    <w:rsid w:val="00174AE7"/>
    <w:rsid w:val="00174AFB"/>
    <w:rsid w:val="00175001"/>
    <w:rsid w:val="00175719"/>
    <w:rsid w:val="00175A15"/>
    <w:rsid w:val="00175BE9"/>
    <w:rsid w:val="00175C23"/>
    <w:rsid w:val="00175F53"/>
    <w:rsid w:val="00175FE0"/>
    <w:rsid w:val="0017601E"/>
    <w:rsid w:val="0017609C"/>
    <w:rsid w:val="001761CF"/>
    <w:rsid w:val="0017640B"/>
    <w:rsid w:val="001764F1"/>
    <w:rsid w:val="0017678B"/>
    <w:rsid w:val="001767C2"/>
    <w:rsid w:val="001767E5"/>
    <w:rsid w:val="00176B16"/>
    <w:rsid w:val="00176B73"/>
    <w:rsid w:val="00176C73"/>
    <w:rsid w:val="00176C8D"/>
    <w:rsid w:val="00176D18"/>
    <w:rsid w:val="00176F50"/>
    <w:rsid w:val="00177170"/>
    <w:rsid w:val="0017723C"/>
    <w:rsid w:val="001774F5"/>
    <w:rsid w:val="001776A2"/>
    <w:rsid w:val="001776AF"/>
    <w:rsid w:val="00177896"/>
    <w:rsid w:val="00177913"/>
    <w:rsid w:val="001779C1"/>
    <w:rsid w:val="00177AF8"/>
    <w:rsid w:val="00177C56"/>
    <w:rsid w:val="00180050"/>
    <w:rsid w:val="00180052"/>
    <w:rsid w:val="0018025C"/>
    <w:rsid w:val="0018036A"/>
    <w:rsid w:val="001803E5"/>
    <w:rsid w:val="0018041D"/>
    <w:rsid w:val="001805EC"/>
    <w:rsid w:val="001805F5"/>
    <w:rsid w:val="00180702"/>
    <w:rsid w:val="00180A84"/>
    <w:rsid w:val="00180A85"/>
    <w:rsid w:val="001810FB"/>
    <w:rsid w:val="001812FA"/>
    <w:rsid w:val="00181527"/>
    <w:rsid w:val="0018157E"/>
    <w:rsid w:val="00181DE1"/>
    <w:rsid w:val="00181E3F"/>
    <w:rsid w:val="001821C1"/>
    <w:rsid w:val="00182369"/>
    <w:rsid w:val="0018240D"/>
    <w:rsid w:val="001825B0"/>
    <w:rsid w:val="00182A7A"/>
    <w:rsid w:val="001832C0"/>
    <w:rsid w:val="00183385"/>
    <w:rsid w:val="001838A3"/>
    <w:rsid w:val="001838C1"/>
    <w:rsid w:val="00183A81"/>
    <w:rsid w:val="00183C6A"/>
    <w:rsid w:val="00184094"/>
    <w:rsid w:val="00184123"/>
    <w:rsid w:val="001842B5"/>
    <w:rsid w:val="00184654"/>
    <w:rsid w:val="001846A8"/>
    <w:rsid w:val="001846F2"/>
    <w:rsid w:val="00184834"/>
    <w:rsid w:val="00184A92"/>
    <w:rsid w:val="00184E07"/>
    <w:rsid w:val="00184E43"/>
    <w:rsid w:val="00184E8C"/>
    <w:rsid w:val="00185231"/>
    <w:rsid w:val="00185541"/>
    <w:rsid w:val="0018586F"/>
    <w:rsid w:val="001858D2"/>
    <w:rsid w:val="00185B1F"/>
    <w:rsid w:val="00185E93"/>
    <w:rsid w:val="00186294"/>
    <w:rsid w:val="001867A2"/>
    <w:rsid w:val="00186BE3"/>
    <w:rsid w:val="00186C40"/>
    <w:rsid w:val="00186C48"/>
    <w:rsid w:val="00186E13"/>
    <w:rsid w:val="00187006"/>
    <w:rsid w:val="001870D1"/>
    <w:rsid w:val="001870E8"/>
    <w:rsid w:val="00187260"/>
    <w:rsid w:val="00187413"/>
    <w:rsid w:val="00187596"/>
    <w:rsid w:val="0018759B"/>
    <w:rsid w:val="001875A6"/>
    <w:rsid w:val="0018780A"/>
    <w:rsid w:val="0019005B"/>
    <w:rsid w:val="0019009E"/>
    <w:rsid w:val="001900F7"/>
    <w:rsid w:val="00190647"/>
    <w:rsid w:val="00190A11"/>
    <w:rsid w:val="00190A27"/>
    <w:rsid w:val="00190AF5"/>
    <w:rsid w:val="00190F63"/>
    <w:rsid w:val="00191141"/>
    <w:rsid w:val="001913B6"/>
    <w:rsid w:val="001916E2"/>
    <w:rsid w:val="00191752"/>
    <w:rsid w:val="001917F8"/>
    <w:rsid w:val="00191A30"/>
    <w:rsid w:val="00191DC9"/>
    <w:rsid w:val="00191E14"/>
    <w:rsid w:val="00191F18"/>
    <w:rsid w:val="00191F58"/>
    <w:rsid w:val="00191FC9"/>
    <w:rsid w:val="00192007"/>
    <w:rsid w:val="0019201F"/>
    <w:rsid w:val="00192103"/>
    <w:rsid w:val="001921A1"/>
    <w:rsid w:val="00192219"/>
    <w:rsid w:val="00192295"/>
    <w:rsid w:val="001929D9"/>
    <w:rsid w:val="00192D48"/>
    <w:rsid w:val="00192F08"/>
    <w:rsid w:val="00192FE8"/>
    <w:rsid w:val="001932CA"/>
    <w:rsid w:val="0019346B"/>
    <w:rsid w:val="00193489"/>
    <w:rsid w:val="001935E2"/>
    <w:rsid w:val="00193666"/>
    <w:rsid w:val="0019377C"/>
    <w:rsid w:val="00193783"/>
    <w:rsid w:val="001937E5"/>
    <w:rsid w:val="00193A15"/>
    <w:rsid w:val="00193BF5"/>
    <w:rsid w:val="00193DDA"/>
    <w:rsid w:val="00193F4A"/>
    <w:rsid w:val="001940D4"/>
    <w:rsid w:val="00194161"/>
    <w:rsid w:val="00194F11"/>
    <w:rsid w:val="001952F2"/>
    <w:rsid w:val="001952FB"/>
    <w:rsid w:val="0019531D"/>
    <w:rsid w:val="00195601"/>
    <w:rsid w:val="0019565A"/>
    <w:rsid w:val="001958A1"/>
    <w:rsid w:val="00195934"/>
    <w:rsid w:val="00195950"/>
    <w:rsid w:val="00195C09"/>
    <w:rsid w:val="00196110"/>
    <w:rsid w:val="001962B8"/>
    <w:rsid w:val="00196319"/>
    <w:rsid w:val="00196358"/>
    <w:rsid w:val="00196650"/>
    <w:rsid w:val="001969C2"/>
    <w:rsid w:val="00196AB7"/>
    <w:rsid w:val="00196C11"/>
    <w:rsid w:val="00196C7F"/>
    <w:rsid w:val="00196DBB"/>
    <w:rsid w:val="00196F5D"/>
    <w:rsid w:val="00196F9D"/>
    <w:rsid w:val="0019722B"/>
    <w:rsid w:val="0019729A"/>
    <w:rsid w:val="001976E6"/>
    <w:rsid w:val="001977D4"/>
    <w:rsid w:val="001977E7"/>
    <w:rsid w:val="00197DF6"/>
    <w:rsid w:val="00197E0D"/>
    <w:rsid w:val="00197F8C"/>
    <w:rsid w:val="001A0148"/>
    <w:rsid w:val="001A03B9"/>
    <w:rsid w:val="001A046D"/>
    <w:rsid w:val="001A08AC"/>
    <w:rsid w:val="001A0F1C"/>
    <w:rsid w:val="001A12C1"/>
    <w:rsid w:val="001A14CF"/>
    <w:rsid w:val="001A14E2"/>
    <w:rsid w:val="001A178A"/>
    <w:rsid w:val="001A18C9"/>
    <w:rsid w:val="001A1D6E"/>
    <w:rsid w:val="001A1D79"/>
    <w:rsid w:val="001A1DF0"/>
    <w:rsid w:val="001A1E81"/>
    <w:rsid w:val="001A1EB2"/>
    <w:rsid w:val="001A23B4"/>
    <w:rsid w:val="001A2443"/>
    <w:rsid w:val="001A26DF"/>
    <w:rsid w:val="001A2722"/>
    <w:rsid w:val="001A2DE4"/>
    <w:rsid w:val="001A31DF"/>
    <w:rsid w:val="001A321C"/>
    <w:rsid w:val="001A32A8"/>
    <w:rsid w:val="001A3749"/>
    <w:rsid w:val="001A37BE"/>
    <w:rsid w:val="001A37D1"/>
    <w:rsid w:val="001A38F2"/>
    <w:rsid w:val="001A394B"/>
    <w:rsid w:val="001A3A5D"/>
    <w:rsid w:val="001A3B79"/>
    <w:rsid w:val="001A3BFB"/>
    <w:rsid w:val="001A3E15"/>
    <w:rsid w:val="001A3FD6"/>
    <w:rsid w:val="001A3FD7"/>
    <w:rsid w:val="001A4012"/>
    <w:rsid w:val="001A4197"/>
    <w:rsid w:val="001A45AD"/>
    <w:rsid w:val="001A4F2C"/>
    <w:rsid w:val="001A517E"/>
    <w:rsid w:val="001A51A2"/>
    <w:rsid w:val="001A5204"/>
    <w:rsid w:val="001A547B"/>
    <w:rsid w:val="001A5B74"/>
    <w:rsid w:val="001A5F4F"/>
    <w:rsid w:val="001A5F6E"/>
    <w:rsid w:val="001A5FFC"/>
    <w:rsid w:val="001A61E7"/>
    <w:rsid w:val="001A6441"/>
    <w:rsid w:val="001A64B9"/>
    <w:rsid w:val="001A685C"/>
    <w:rsid w:val="001A6908"/>
    <w:rsid w:val="001A69DE"/>
    <w:rsid w:val="001A6D35"/>
    <w:rsid w:val="001A6E33"/>
    <w:rsid w:val="001A71A6"/>
    <w:rsid w:val="001A739C"/>
    <w:rsid w:val="001A7479"/>
    <w:rsid w:val="001A758D"/>
    <w:rsid w:val="001A76EC"/>
    <w:rsid w:val="001A777D"/>
    <w:rsid w:val="001A77A1"/>
    <w:rsid w:val="001A7B98"/>
    <w:rsid w:val="001A7D1D"/>
    <w:rsid w:val="001A7D8E"/>
    <w:rsid w:val="001B00D8"/>
    <w:rsid w:val="001B00FB"/>
    <w:rsid w:val="001B01BB"/>
    <w:rsid w:val="001B0497"/>
    <w:rsid w:val="001B0536"/>
    <w:rsid w:val="001B0D54"/>
    <w:rsid w:val="001B0D7C"/>
    <w:rsid w:val="001B0E0A"/>
    <w:rsid w:val="001B0E90"/>
    <w:rsid w:val="001B0F77"/>
    <w:rsid w:val="001B1033"/>
    <w:rsid w:val="001B11E0"/>
    <w:rsid w:val="001B12C4"/>
    <w:rsid w:val="001B137D"/>
    <w:rsid w:val="001B1909"/>
    <w:rsid w:val="001B196C"/>
    <w:rsid w:val="001B1A40"/>
    <w:rsid w:val="001B1ACD"/>
    <w:rsid w:val="001B1C44"/>
    <w:rsid w:val="001B21C4"/>
    <w:rsid w:val="001B21E4"/>
    <w:rsid w:val="001B22AD"/>
    <w:rsid w:val="001B23C3"/>
    <w:rsid w:val="001B2696"/>
    <w:rsid w:val="001B279A"/>
    <w:rsid w:val="001B3044"/>
    <w:rsid w:val="001B3307"/>
    <w:rsid w:val="001B3575"/>
    <w:rsid w:val="001B36EA"/>
    <w:rsid w:val="001B383A"/>
    <w:rsid w:val="001B39B4"/>
    <w:rsid w:val="001B39C4"/>
    <w:rsid w:val="001B43B7"/>
    <w:rsid w:val="001B455D"/>
    <w:rsid w:val="001B4689"/>
    <w:rsid w:val="001B4693"/>
    <w:rsid w:val="001B46EE"/>
    <w:rsid w:val="001B4D98"/>
    <w:rsid w:val="001B4DF1"/>
    <w:rsid w:val="001B4EDA"/>
    <w:rsid w:val="001B5006"/>
    <w:rsid w:val="001B543B"/>
    <w:rsid w:val="001B5832"/>
    <w:rsid w:val="001B5C4E"/>
    <w:rsid w:val="001B5CE3"/>
    <w:rsid w:val="001B5CFF"/>
    <w:rsid w:val="001B5FBC"/>
    <w:rsid w:val="001B6669"/>
    <w:rsid w:val="001B6AC8"/>
    <w:rsid w:val="001B6CAD"/>
    <w:rsid w:val="001B6ED8"/>
    <w:rsid w:val="001B7460"/>
    <w:rsid w:val="001B74C6"/>
    <w:rsid w:val="001B75D5"/>
    <w:rsid w:val="001B78DB"/>
    <w:rsid w:val="001B7920"/>
    <w:rsid w:val="001B79C5"/>
    <w:rsid w:val="001B7BF7"/>
    <w:rsid w:val="001B7C15"/>
    <w:rsid w:val="001B7C77"/>
    <w:rsid w:val="001C023E"/>
    <w:rsid w:val="001C03F0"/>
    <w:rsid w:val="001C041B"/>
    <w:rsid w:val="001C06D9"/>
    <w:rsid w:val="001C09F9"/>
    <w:rsid w:val="001C0B72"/>
    <w:rsid w:val="001C0B8C"/>
    <w:rsid w:val="001C0BBC"/>
    <w:rsid w:val="001C0DCB"/>
    <w:rsid w:val="001C13C1"/>
    <w:rsid w:val="001C1530"/>
    <w:rsid w:val="001C15F0"/>
    <w:rsid w:val="001C15F8"/>
    <w:rsid w:val="001C16FE"/>
    <w:rsid w:val="001C17CA"/>
    <w:rsid w:val="001C1892"/>
    <w:rsid w:val="001C1925"/>
    <w:rsid w:val="001C1988"/>
    <w:rsid w:val="001C1C04"/>
    <w:rsid w:val="001C1D3A"/>
    <w:rsid w:val="001C1DB2"/>
    <w:rsid w:val="001C1EF8"/>
    <w:rsid w:val="001C2008"/>
    <w:rsid w:val="001C2432"/>
    <w:rsid w:val="001C2574"/>
    <w:rsid w:val="001C2B91"/>
    <w:rsid w:val="001C3238"/>
    <w:rsid w:val="001C32E4"/>
    <w:rsid w:val="001C340D"/>
    <w:rsid w:val="001C370D"/>
    <w:rsid w:val="001C3A51"/>
    <w:rsid w:val="001C3B3C"/>
    <w:rsid w:val="001C41BC"/>
    <w:rsid w:val="001C4246"/>
    <w:rsid w:val="001C4754"/>
    <w:rsid w:val="001C485A"/>
    <w:rsid w:val="001C4A37"/>
    <w:rsid w:val="001C4AB4"/>
    <w:rsid w:val="001C4CCF"/>
    <w:rsid w:val="001C4CDB"/>
    <w:rsid w:val="001C4DF6"/>
    <w:rsid w:val="001C4E2E"/>
    <w:rsid w:val="001C4E35"/>
    <w:rsid w:val="001C4ED7"/>
    <w:rsid w:val="001C4FA7"/>
    <w:rsid w:val="001C5012"/>
    <w:rsid w:val="001C52E1"/>
    <w:rsid w:val="001C53A5"/>
    <w:rsid w:val="001C5AD5"/>
    <w:rsid w:val="001C5C3F"/>
    <w:rsid w:val="001C5DAA"/>
    <w:rsid w:val="001C6109"/>
    <w:rsid w:val="001C6383"/>
    <w:rsid w:val="001C6402"/>
    <w:rsid w:val="001C68B4"/>
    <w:rsid w:val="001C6A33"/>
    <w:rsid w:val="001C6E0A"/>
    <w:rsid w:val="001C6E5C"/>
    <w:rsid w:val="001C7085"/>
    <w:rsid w:val="001C70E8"/>
    <w:rsid w:val="001C71D1"/>
    <w:rsid w:val="001C7365"/>
    <w:rsid w:val="001C73D0"/>
    <w:rsid w:val="001C7645"/>
    <w:rsid w:val="001C76E2"/>
    <w:rsid w:val="001C7C86"/>
    <w:rsid w:val="001C7C92"/>
    <w:rsid w:val="001C7E30"/>
    <w:rsid w:val="001C7E8D"/>
    <w:rsid w:val="001D014F"/>
    <w:rsid w:val="001D01F9"/>
    <w:rsid w:val="001D02DE"/>
    <w:rsid w:val="001D03AD"/>
    <w:rsid w:val="001D040B"/>
    <w:rsid w:val="001D042F"/>
    <w:rsid w:val="001D07CD"/>
    <w:rsid w:val="001D0A48"/>
    <w:rsid w:val="001D0E05"/>
    <w:rsid w:val="001D1063"/>
    <w:rsid w:val="001D11CF"/>
    <w:rsid w:val="001D16A1"/>
    <w:rsid w:val="001D172B"/>
    <w:rsid w:val="001D1A79"/>
    <w:rsid w:val="001D1AD5"/>
    <w:rsid w:val="001D1D52"/>
    <w:rsid w:val="001D1DDA"/>
    <w:rsid w:val="001D1EC8"/>
    <w:rsid w:val="001D2160"/>
    <w:rsid w:val="001D2233"/>
    <w:rsid w:val="001D23A2"/>
    <w:rsid w:val="001D25D9"/>
    <w:rsid w:val="001D2A6A"/>
    <w:rsid w:val="001D2B55"/>
    <w:rsid w:val="001D2F6C"/>
    <w:rsid w:val="001D2F79"/>
    <w:rsid w:val="001D2FB1"/>
    <w:rsid w:val="001D30AA"/>
    <w:rsid w:val="001D32C8"/>
    <w:rsid w:val="001D3884"/>
    <w:rsid w:val="001D38D3"/>
    <w:rsid w:val="001D3B3F"/>
    <w:rsid w:val="001D3D49"/>
    <w:rsid w:val="001D40B9"/>
    <w:rsid w:val="001D45DA"/>
    <w:rsid w:val="001D4793"/>
    <w:rsid w:val="001D47D0"/>
    <w:rsid w:val="001D49A3"/>
    <w:rsid w:val="001D4AF4"/>
    <w:rsid w:val="001D4AF6"/>
    <w:rsid w:val="001D4BF9"/>
    <w:rsid w:val="001D4C8C"/>
    <w:rsid w:val="001D4CCA"/>
    <w:rsid w:val="001D53D3"/>
    <w:rsid w:val="001D5467"/>
    <w:rsid w:val="001D596C"/>
    <w:rsid w:val="001D5A03"/>
    <w:rsid w:val="001D5FA0"/>
    <w:rsid w:val="001D63C3"/>
    <w:rsid w:val="001D6491"/>
    <w:rsid w:val="001D6508"/>
    <w:rsid w:val="001D6534"/>
    <w:rsid w:val="001D6544"/>
    <w:rsid w:val="001D67AA"/>
    <w:rsid w:val="001D682C"/>
    <w:rsid w:val="001D683A"/>
    <w:rsid w:val="001D6915"/>
    <w:rsid w:val="001D6D04"/>
    <w:rsid w:val="001D6E7A"/>
    <w:rsid w:val="001D6F17"/>
    <w:rsid w:val="001D715F"/>
    <w:rsid w:val="001D718F"/>
    <w:rsid w:val="001D74FF"/>
    <w:rsid w:val="001E010A"/>
    <w:rsid w:val="001E01F2"/>
    <w:rsid w:val="001E0222"/>
    <w:rsid w:val="001E0859"/>
    <w:rsid w:val="001E09C8"/>
    <w:rsid w:val="001E09F6"/>
    <w:rsid w:val="001E0C1B"/>
    <w:rsid w:val="001E0EA3"/>
    <w:rsid w:val="001E0F0A"/>
    <w:rsid w:val="001E0FDF"/>
    <w:rsid w:val="001E148C"/>
    <w:rsid w:val="001E1531"/>
    <w:rsid w:val="001E18DA"/>
    <w:rsid w:val="001E195D"/>
    <w:rsid w:val="001E1B33"/>
    <w:rsid w:val="001E255E"/>
    <w:rsid w:val="001E2597"/>
    <w:rsid w:val="001E2638"/>
    <w:rsid w:val="001E276B"/>
    <w:rsid w:val="001E28AB"/>
    <w:rsid w:val="001E2949"/>
    <w:rsid w:val="001E2BF2"/>
    <w:rsid w:val="001E2FAA"/>
    <w:rsid w:val="001E2FFF"/>
    <w:rsid w:val="001E34CA"/>
    <w:rsid w:val="001E3545"/>
    <w:rsid w:val="001E35EF"/>
    <w:rsid w:val="001E380F"/>
    <w:rsid w:val="001E3819"/>
    <w:rsid w:val="001E388C"/>
    <w:rsid w:val="001E3AF2"/>
    <w:rsid w:val="001E3C35"/>
    <w:rsid w:val="001E3CC8"/>
    <w:rsid w:val="001E43C3"/>
    <w:rsid w:val="001E456D"/>
    <w:rsid w:val="001E462C"/>
    <w:rsid w:val="001E4634"/>
    <w:rsid w:val="001E474D"/>
    <w:rsid w:val="001E489F"/>
    <w:rsid w:val="001E4A59"/>
    <w:rsid w:val="001E4B1A"/>
    <w:rsid w:val="001E4B5E"/>
    <w:rsid w:val="001E4BF7"/>
    <w:rsid w:val="001E4C22"/>
    <w:rsid w:val="001E54C2"/>
    <w:rsid w:val="001E5842"/>
    <w:rsid w:val="001E5A1D"/>
    <w:rsid w:val="001E5D0F"/>
    <w:rsid w:val="001E5E73"/>
    <w:rsid w:val="001E5FE1"/>
    <w:rsid w:val="001E6205"/>
    <w:rsid w:val="001E633E"/>
    <w:rsid w:val="001E6592"/>
    <w:rsid w:val="001E65A3"/>
    <w:rsid w:val="001E6809"/>
    <w:rsid w:val="001E6AFF"/>
    <w:rsid w:val="001E6F33"/>
    <w:rsid w:val="001E700B"/>
    <w:rsid w:val="001E7086"/>
    <w:rsid w:val="001E7290"/>
    <w:rsid w:val="001E734F"/>
    <w:rsid w:val="001E7517"/>
    <w:rsid w:val="001E7624"/>
    <w:rsid w:val="001E76F6"/>
    <w:rsid w:val="001E7729"/>
    <w:rsid w:val="001E7999"/>
    <w:rsid w:val="001E7C65"/>
    <w:rsid w:val="001E7E86"/>
    <w:rsid w:val="001E7F5E"/>
    <w:rsid w:val="001E7FFC"/>
    <w:rsid w:val="001F01D9"/>
    <w:rsid w:val="001F0403"/>
    <w:rsid w:val="001F07E0"/>
    <w:rsid w:val="001F09B9"/>
    <w:rsid w:val="001F0AA3"/>
    <w:rsid w:val="001F0CD0"/>
    <w:rsid w:val="001F0E21"/>
    <w:rsid w:val="001F0EBF"/>
    <w:rsid w:val="001F121E"/>
    <w:rsid w:val="001F14E1"/>
    <w:rsid w:val="001F1969"/>
    <w:rsid w:val="001F2265"/>
    <w:rsid w:val="001F240E"/>
    <w:rsid w:val="001F25B6"/>
    <w:rsid w:val="001F2F86"/>
    <w:rsid w:val="001F325C"/>
    <w:rsid w:val="001F3393"/>
    <w:rsid w:val="001F3565"/>
    <w:rsid w:val="001F358D"/>
    <w:rsid w:val="001F3693"/>
    <w:rsid w:val="001F3D94"/>
    <w:rsid w:val="001F413F"/>
    <w:rsid w:val="001F42CE"/>
    <w:rsid w:val="001F43BB"/>
    <w:rsid w:val="001F491A"/>
    <w:rsid w:val="001F4AF3"/>
    <w:rsid w:val="001F4F3F"/>
    <w:rsid w:val="001F5288"/>
    <w:rsid w:val="001F57CB"/>
    <w:rsid w:val="001F5AF7"/>
    <w:rsid w:val="001F5D5A"/>
    <w:rsid w:val="001F631C"/>
    <w:rsid w:val="001F67F6"/>
    <w:rsid w:val="001F6801"/>
    <w:rsid w:val="001F681C"/>
    <w:rsid w:val="001F693A"/>
    <w:rsid w:val="001F69E4"/>
    <w:rsid w:val="001F6B58"/>
    <w:rsid w:val="001F6F14"/>
    <w:rsid w:val="001F705E"/>
    <w:rsid w:val="001F714A"/>
    <w:rsid w:val="001F72C9"/>
    <w:rsid w:val="001F73CE"/>
    <w:rsid w:val="001F7CAA"/>
    <w:rsid w:val="001F7DDB"/>
    <w:rsid w:val="00200217"/>
    <w:rsid w:val="002002D9"/>
    <w:rsid w:val="00200520"/>
    <w:rsid w:val="002005A1"/>
    <w:rsid w:val="002006BE"/>
    <w:rsid w:val="0020070A"/>
    <w:rsid w:val="00200A2E"/>
    <w:rsid w:val="00200A32"/>
    <w:rsid w:val="00200AE3"/>
    <w:rsid w:val="00200BEA"/>
    <w:rsid w:val="002011FD"/>
    <w:rsid w:val="002015EE"/>
    <w:rsid w:val="00201FE0"/>
    <w:rsid w:val="00202011"/>
    <w:rsid w:val="002025C9"/>
    <w:rsid w:val="00202701"/>
    <w:rsid w:val="0020274A"/>
    <w:rsid w:val="00202858"/>
    <w:rsid w:val="002028A7"/>
    <w:rsid w:val="00202921"/>
    <w:rsid w:val="00202CB0"/>
    <w:rsid w:val="00202D70"/>
    <w:rsid w:val="00202FAE"/>
    <w:rsid w:val="0020313B"/>
    <w:rsid w:val="002032DB"/>
    <w:rsid w:val="002033CB"/>
    <w:rsid w:val="0020340A"/>
    <w:rsid w:val="0020340B"/>
    <w:rsid w:val="00203648"/>
    <w:rsid w:val="00203B1A"/>
    <w:rsid w:val="00203C33"/>
    <w:rsid w:val="00203D06"/>
    <w:rsid w:val="002044C7"/>
    <w:rsid w:val="00204794"/>
    <w:rsid w:val="002047E0"/>
    <w:rsid w:val="00204AE2"/>
    <w:rsid w:val="00204B91"/>
    <w:rsid w:val="00204E64"/>
    <w:rsid w:val="00205196"/>
    <w:rsid w:val="0020529A"/>
    <w:rsid w:val="002054B3"/>
    <w:rsid w:val="00205639"/>
    <w:rsid w:val="00205655"/>
    <w:rsid w:val="002057D8"/>
    <w:rsid w:val="002058B6"/>
    <w:rsid w:val="00205FCB"/>
    <w:rsid w:val="00206227"/>
    <w:rsid w:val="002062B2"/>
    <w:rsid w:val="002062D9"/>
    <w:rsid w:val="002062FC"/>
    <w:rsid w:val="002063FF"/>
    <w:rsid w:val="00206406"/>
    <w:rsid w:val="0020665D"/>
    <w:rsid w:val="002066ED"/>
    <w:rsid w:val="00206890"/>
    <w:rsid w:val="002068EA"/>
    <w:rsid w:val="00206956"/>
    <w:rsid w:val="00206F88"/>
    <w:rsid w:val="00206FFA"/>
    <w:rsid w:val="002071B8"/>
    <w:rsid w:val="002071F4"/>
    <w:rsid w:val="00207350"/>
    <w:rsid w:val="0020741F"/>
    <w:rsid w:val="00207435"/>
    <w:rsid w:val="00207568"/>
    <w:rsid w:val="002076E0"/>
    <w:rsid w:val="00207A15"/>
    <w:rsid w:val="00207C5C"/>
    <w:rsid w:val="00207C60"/>
    <w:rsid w:val="00207E14"/>
    <w:rsid w:val="002102BC"/>
    <w:rsid w:val="00210357"/>
    <w:rsid w:val="0021073F"/>
    <w:rsid w:val="00210E48"/>
    <w:rsid w:val="00210FF5"/>
    <w:rsid w:val="002112C5"/>
    <w:rsid w:val="002113BF"/>
    <w:rsid w:val="00211427"/>
    <w:rsid w:val="00211505"/>
    <w:rsid w:val="002116F9"/>
    <w:rsid w:val="00211A7D"/>
    <w:rsid w:val="00211AE6"/>
    <w:rsid w:val="00211DF8"/>
    <w:rsid w:val="00211ECC"/>
    <w:rsid w:val="00211F78"/>
    <w:rsid w:val="00211F8A"/>
    <w:rsid w:val="0021206B"/>
    <w:rsid w:val="00212081"/>
    <w:rsid w:val="00212306"/>
    <w:rsid w:val="002123F2"/>
    <w:rsid w:val="00212544"/>
    <w:rsid w:val="0021278B"/>
    <w:rsid w:val="00212925"/>
    <w:rsid w:val="00212936"/>
    <w:rsid w:val="00212B99"/>
    <w:rsid w:val="00212F30"/>
    <w:rsid w:val="00213047"/>
    <w:rsid w:val="002130A8"/>
    <w:rsid w:val="002130E8"/>
    <w:rsid w:val="00213674"/>
    <w:rsid w:val="002136AF"/>
    <w:rsid w:val="002137B1"/>
    <w:rsid w:val="00213BB4"/>
    <w:rsid w:val="00213C34"/>
    <w:rsid w:val="0021415B"/>
    <w:rsid w:val="00214303"/>
    <w:rsid w:val="00214372"/>
    <w:rsid w:val="00214890"/>
    <w:rsid w:val="002148F9"/>
    <w:rsid w:val="00214B8C"/>
    <w:rsid w:val="00214D6F"/>
    <w:rsid w:val="0021501B"/>
    <w:rsid w:val="0021514E"/>
    <w:rsid w:val="00215150"/>
    <w:rsid w:val="0021543F"/>
    <w:rsid w:val="00215799"/>
    <w:rsid w:val="00215AAD"/>
    <w:rsid w:val="00215BDB"/>
    <w:rsid w:val="00215E18"/>
    <w:rsid w:val="00215F9E"/>
    <w:rsid w:val="00216032"/>
    <w:rsid w:val="00216051"/>
    <w:rsid w:val="00216129"/>
    <w:rsid w:val="00216137"/>
    <w:rsid w:val="002162B4"/>
    <w:rsid w:val="00216504"/>
    <w:rsid w:val="00216768"/>
    <w:rsid w:val="0021680D"/>
    <w:rsid w:val="00216C0F"/>
    <w:rsid w:val="00216DE7"/>
    <w:rsid w:val="00216E17"/>
    <w:rsid w:val="00216FC2"/>
    <w:rsid w:val="00217806"/>
    <w:rsid w:val="00217857"/>
    <w:rsid w:val="002201B8"/>
    <w:rsid w:val="00220399"/>
    <w:rsid w:val="002205A8"/>
    <w:rsid w:val="0022075B"/>
    <w:rsid w:val="00220769"/>
    <w:rsid w:val="00220AF7"/>
    <w:rsid w:val="00220F68"/>
    <w:rsid w:val="0022121E"/>
    <w:rsid w:val="00221307"/>
    <w:rsid w:val="00221652"/>
    <w:rsid w:val="00221D11"/>
    <w:rsid w:val="00221E92"/>
    <w:rsid w:val="00221EFA"/>
    <w:rsid w:val="00221F19"/>
    <w:rsid w:val="00221F4A"/>
    <w:rsid w:val="00221F95"/>
    <w:rsid w:val="002223D4"/>
    <w:rsid w:val="00222539"/>
    <w:rsid w:val="0022265B"/>
    <w:rsid w:val="0022298C"/>
    <w:rsid w:val="002229CD"/>
    <w:rsid w:val="00222B32"/>
    <w:rsid w:val="00222DE3"/>
    <w:rsid w:val="002233AE"/>
    <w:rsid w:val="00223A50"/>
    <w:rsid w:val="00223B57"/>
    <w:rsid w:val="00223D83"/>
    <w:rsid w:val="00223FCA"/>
    <w:rsid w:val="00224272"/>
    <w:rsid w:val="00224391"/>
    <w:rsid w:val="00224410"/>
    <w:rsid w:val="002246E7"/>
    <w:rsid w:val="002247FA"/>
    <w:rsid w:val="00224CA8"/>
    <w:rsid w:val="00224D50"/>
    <w:rsid w:val="002250CD"/>
    <w:rsid w:val="002253BC"/>
    <w:rsid w:val="00225435"/>
    <w:rsid w:val="002256EC"/>
    <w:rsid w:val="00225BB5"/>
    <w:rsid w:val="00225BF8"/>
    <w:rsid w:val="00225E0D"/>
    <w:rsid w:val="00225ECE"/>
    <w:rsid w:val="002260B0"/>
    <w:rsid w:val="002262D6"/>
    <w:rsid w:val="0022641F"/>
    <w:rsid w:val="00226621"/>
    <w:rsid w:val="00226784"/>
    <w:rsid w:val="00226AE9"/>
    <w:rsid w:val="00226F51"/>
    <w:rsid w:val="00227287"/>
    <w:rsid w:val="0022728E"/>
    <w:rsid w:val="00227334"/>
    <w:rsid w:val="0022762F"/>
    <w:rsid w:val="00230026"/>
    <w:rsid w:val="00230BB5"/>
    <w:rsid w:val="00230E7C"/>
    <w:rsid w:val="00230F59"/>
    <w:rsid w:val="002312EA"/>
    <w:rsid w:val="002313A8"/>
    <w:rsid w:val="002313DB"/>
    <w:rsid w:val="0023140A"/>
    <w:rsid w:val="0023169D"/>
    <w:rsid w:val="00231A31"/>
    <w:rsid w:val="00232307"/>
    <w:rsid w:val="0023239C"/>
    <w:rsid w:val="00232446"/>
    <w:rsid w:val="00232535"/>
    <w:rsid w:val="0023274D"/>
    <w:rsid w:val="00232F8A"/>
    <w:rsid w:val="002330F9"/>
    <w:rsid w:val="0023311D"/>
    <w:rsid w:val="002335F4"/>
    <w:rsid w:val="00233669"/>
    <w:rsid w:val="002337A0"/>
    <w:rsid w:val="00233829"/>
    <w:rsid w:val="002338F0"/>
    <w:rsid w:val="00233E57"/>
    <w:rsid w:val="00233E59"/>
    <w:rsid w:val="00233F12"/>
    <w:rsid w:val="00234736"/>
    <w:rsid w:val="002347AC"/>
    <w:rsid w:val="002347C2"/>
    <w:rsid w:val="002348FE"/>
    <w:rsid w:val="002349DC"/>
    <w:rsid w:val="002349E3"/>
    <w:rsid w:val="00234D08"/>
    <w:rsid w:val="00235573"/>
    <w:rsid w:val="00235A77"/>
    <w:rsid w:val="00235B03"/>
    <w:rsid w:val="00235B50"/>
    <w:rsid w:val="00235BE8"/>
    <w:rsid w:val="00235DE1"/>
    <w:rsid w:val="00235E49"/>
    <w:rsid w:val="00235F79"/>
    <w:rsid w:val="00235F8D"/>
    <w:rsid w:val="00236183"/>
    <w:rsid w:val="0023627F"/>
    <w:rsid w:val="0023651E"/>
    <w:rsid w:val="0023657C"/>
    <w:rsid w:val="00236718"/>
    <w:rsid w:val="00236BD7"/>
    <w:rsid w:val="00236BFE"/>
    <w:rsid w:val="00236ECD"/>
    <w:rsid w:val="00236F40"/>
    <w:rsid w:val="002371A0"/>
    <w:rsid w:val="002373AF"/>
    <w:rsid w:val="002373BA"/>
    <w:rsid w:val="002379A6"/>
    <w:rsid w:val="00237C5A"/>
    <w:rsid w:val="00237E0E"/>
    <w:rsid w:val="00237EF3"/>
    <w:rsid w:val="00237F0D"/>
    <w:rsid w:val="002400BA"/>
    <w:rsid w:val="00240140"/>
    <w:rsid w:val="0024094C"/>
    <w:rsid w:val="00240A60"/>
    <w:rsid w:val="00240DA1"/>
    <w:rsid w:val="00240DC6"/>
    <w:rsid w:val="00240FB6"/>
    <w:rsid w:val="00240FFB"/>
    <w:rsid w:val="00241052"/>
    <w:rsid w:val="002414EE"/>
    <w:rsid w:val="00241846"/>
    <w:rsid w:val="00241B8B"/>
    <w:rsid w:val="002420CD"/>
    <w:rsid w:val="00242139"/>
    <w:rsid w:val="0024247D"/>
    <w:rsid w:val="00242638"/>
    <w:rsid w:val="00242644"/>
    <w:rsid w:val="002428F6"/>
    <w:rsid w:val="00242DD4"/>
    <w:rsid w:val="00242F17"/>
    <w:rsid w:val="00242FC4"/>
    <w:rsid w:val="00243421"/>
    <w:rsid w:val="0024361C"/>
    <w:rsid w:val="00243644"/>
    <w:rsid w:val="0024385D"/>
    <w:rsid w:val="00243B08"/>
    <w:rsid w:val="00243B66"/>
    <w:rsid w:val="00243BD4"/>
    <w:rsid w:val="00243E34"/>
    <w:rsid w:val="00243EA2"/>
    <w:rsid w:val="00244297"/>
    <w:rsid w:val="00244592"/>
    <w:rsid w:val="002448F8"/>
    <w:rsid w:val="00244A86"/>
    <w:rsid w:val="00244B17"/>
    <w:rsid w:val="00244D17"/>
    <w:rsid w:val="00244FC3"/>
    <w:rsid w:val="00245627"/>
    <w:rsid w:val="0024586D"/>
    <w:rsid w:val="0024589A"/>
    <w:rsid w:val="0024598C"/>
    <w:rsid w:val="00245CE6"/>
    <w:rsid w:val="002463B5"/>
    <w:rsid w:val="00246BB6"/>
    <w:rsid w:val="00246BDD"/>
    <w:rsid w:val="00246EC0"/>
    <w:rsid w:val="002470F9"/>
    <w:rsid w:val="00247484"/>
    <w:rsid w:val="0024762E"/>
    <w:rsid w:val="002477CF"/>
    <w:rsid w:val="002479E4"/>
    <w:rsid w:val="00247B6F"/>
    <w:rsid w:val="00247CB2"/>
    <w:rsid w:val="00247CE3"/>
    <w:rsid w:val="00247EFE"/>
    <w:rsid w:val="00247FA6"/>
    <w:rsid w:val="00250065"/>
    <w:rsid w:val="00250314"/>
    <w:rsid w:val="002505BE"/>
    <w:rsid w:val="002505C4"/>
    <w:rsid w:val="002508D6"/>
    <w:rsid w:val="00250A28"/>
    <w:rsid w:val="00250BF8"/>
    <w:rsid w:val="00250E26"/>
    <w:rsid w:val="002514DF"/>
    <w:rsid w:val="0025164E"/>
    <w:rsid w:val="00251A92"/>
    <w:rsid w:val="00251C0E"/>
    <w:rsid w:val="00251EFF"/>
    <w:rsid w:val="00252129"/>
    <w:rsid w:val="002521AA"/>
    <w:rsid w:val="002523AF"/>
    <w:rsid w:val="0025241F"/>
    <w:rsid w:val="00252C04"/>
    <w:rsid w:val="00252CF2"/>
    <w:rsid w:val="00252D53"/>
    <w:rsid w:val="00252DE6"/>
    <w:rsid w:val="00252F86"/>
    <w:rsid w:val="0025302C"/>
    <w:rsid w:val="002532D6"/>
    <w:rsid w:val="002533DC"/>
    <w:rsid w:val="00253688"/>
    <w:rsid w:val="002540AF"/>
    <w:rsid w:val="00254127"/>
    <w:rsid w:val="0025434B"/>
    <w:rsid w:val="002547D4"/>
    <w:rsid w:val="0025498B"/>
    <w:rsid w:val="00254BF9"/>
    <w:rsid w:val="00254CAB"/>
    <w:rsid w:val="002551A6"/>
    <w:rsid w:val="00255551"/>
    <w:rsid w:val="00255A68"/>
    <w:rsid w:val="00255D05"/>
    <w:rsid w:val="00256511"/>
    <w:rsid w:val="0025696E"/>
    <w:rsid w:val="00256D2E"/>
    <w:rsid w:val="00256F18"/>
    <w:rsid w:val="002571D1"/>
    <w:rsid w:val="00257285"/>
    <w:rsid w:val="002572CC"/>
    <w:rsid w:val="002575E4"/>
    <w:rsid w:val="00257746"/>
    <w:rsid w:val="00257BBF"/>
    <w:rsid w:val="00257C7E"/>
    <w:rsid w:val="0026013A"/>
    <w:rsid w:val="0026017F"/>
    <w:rsid w:val="0026024C"/>
    <w:rsid w:val="0026053A"/>
    <w:rsid w:val="00260938"/>
    <w:rsid w:val="00260ABA"/>
    <w:rsid w:val="00260B6E"/>
    <w:rsid w:val="00260F09"/>
    <w:rsid w:val="002611E0"/>
    <w:rsid w:val="002612F8"/>
    <w:rsid w:val="00261A66"/>
    <w:rsid w:val="00261D0C"/>
    <w:rsid w:val="002623A3"/>
    <w:rsid w:val="00262412"/>
    <w:rsid w:val="0026258D"/>
    <w:rsid w:val="00262595"/>
    <w:rsid w:val="00262860"/>
    <w:rsid w:val="00262886"/>
    <w:rsid w:val="0026288D"/>
    <w:rsid w:val="00262B68"/>
    <w:rsid w:val="00262C62"/>
    <w:rsid w:val="00262CE8"/>
    <w:rsid w:val="00262E39"/>
    <w:rsid w:val="00262FDB"/>
    <w:rsid w:val="002630FF"/>
    <w:rsid w:val="002633C0"/>
    <w:rsid w:val="00263AA4"/>
    <w:rsid w:val="00263DA3"/>
    <w:rsid w:val="00263E3A"/>
    <w:rsid w:val="00263F25"/>
    <w:rsid w:val="0026412C"/>
    <w:rsid w:val="00264131"/>
    <w:rsid w:val="002643E1"/>
    <w:rsid w:val="00264A27"/>
    <w:rsid w:val="00264A64"/>
    <w:rsid w:val="00264C98"/>
    <w:rsid w:val="00264CFF"/>
    <w:rsid w:val="00264D80"/>
    <w:rsid w:val="002650F0"/>
    <w:rsid w:val="002653E3"/>
    <w:rsid w:val="002654D8"/>
    <w:rsid w:val="002656D5"/>
    <w:rsid w:val="00265701"/>
    <w:rsid w:val="00265A8F"/>
    <w:rsid w:val="00265E9B"/>
    <w:rsid w:val="00265EC0"/>
    <w:rsid w:val="00266190"/>
    <w:rsid w:val="0026637A"/>
    <w:rsid w:val="0026656F"/>
    <w:rsid w:val="00266B84"/>
    <w:rsid w:val="00266BCF"/>
    <w:rsid w:val="00266D96"/>
    <w:rsid w:val="00266EA1"/>
    <w:rsid w:val="00266F52"/>
    <w:rsid w:val="00267080"/>
    <w:rsid w:val="0026720A"/>
    <w:rsid w:val="00267421"/>
    <w:rsid w:val="00267A42"/>
    <w:rsid w:val="00267D23"/>
    <w:rsid w:val="00267D9C"/>
    <w:rsid w:val="00270407"/>
    <w:rsid w:val="00270447"/>
    <w:rsid w:val="002704EA"/>
    <w:rsid w:val="00270672"/>
    <w:rsid w:val="002707CC"/>
    <w:rsid w:val="002708EA"/>
    <w:rsid w:val="00270B98"/>
    <w:rsid w:val="00270FCA"/>
    <w:rsid w:val="0027142D"/>
    <w:rsid w:val="002715EB"/>
    <w:rsid w:val="002716A0"/>
    <w:rsid w:val="00271DA0"/>
    <w:rsid w:val="00271EC7"/>
    <w:rsid w:val="00272249"/>
    <w:rsid w:val="00272F3D"/>
    <w:rsid w:val="00273187"/>
    <w:rsid w:val="00273252"/>
    <w:rsid w:val="00273363"/>
    <w:rsid w:val="002736B5"/>
    <w:rsid w:val="002736B9"/>
    <w:rsid w:val="00273976"/>
    <w:rsid w:val="00273A1A"/>
    <w:rsid w:val="00273A64"/>
    <w:rsid w:val="0027418E"/>
    <w:rsid w:val="002742AC"/>
    <w:rsid w:val="00274444"/>
    <w:rsid w:val="00274AC2"/>
    <w:rsid w:val="00274AF7"/>
    <w:rsid w:val="00274B1A"/>
    <w:rsid w:val="00274BAB"/>
    <w:rsid w:val="0027518B"/>
    <w:rsid w:val="002751FF"/>
    <w:rsid w:val="00275398"/>
    <w:rsid w:val="0027570E"/>
    <w:rsid w:val="0027578C"/>
    <w:rsid w:val="00275BA8"/>
    <w:rsid w:val="00275D0A"/>
    <w:rsid w:val="00275E24"/>
    <w:rsid w:val="00276035"/>
    <w:rsid w:val="002762D8"/>
    <w:rsid w:val="00276555"/>
    <w:rsid w:val="002768B8"/>
    <w:rsid w:val="00276965"/>
    <w:rsid w:val="00276BFB"/>
    <w:rsid w:val="00276D78"/>
    <w:rsid w:val="00276EC0"/>
    <w:rsid w:val="00276EC8"/>
    <w:rsid w:val="0027715E"/>
    <w:rsid w:val="0027722A"/>
    <w:rsid w:val="002773D2"/>
    <w:rsid w:val="002774BD"/>
    <w:rsid w:val="002775FD"/>
    <w:rsid w:val="00277846"/>
    <w:rsid w:val="00277A95"/>
    <w:rsid w:val="00277D54"/>
    <w:rsid w:val="00280480"/>
    <w:rsid w:val="0028049A"/>
    <w:rsid w:val="00280666"/>
    <w:rsid w:val="00280745"/>
    <w:rsid w:val="00280801"/>
    <w:rsid w:val="002808D6"/>
    <w:rsid w:val="00280D47"/>
    <w:rsid w:val="00280DB0"/>
    <w:rsid w:val="00280E47"/>
    <w:rsid w:val="00280E8C"/>
    <w:rsid w:val="00280F03"/>
    <w:rsid w:val="00280F56"/>
    <w:rsid w:val="0028138B"/>
    <w:rsid w:val="00281568"/>
    <w:rsid w:val="00281668"/>
    <w:rsid w:val="0028188F"/>
    <w:rsid w:val="002819D4"/>
    <w:rsid w:val="00281AC6"/>
    <w:rsid w:val="00281BAC"/>
    <w:rsid w:val="00281C42"/>
    <w:rsid w:val="00281F40"/>
    <w:rsid w:val="0028225F"/>
    <w:rsid w:val="0028231F"/>
    <w:rsid w:val="00282490"/>
    <w:rsid w:val="00282541"/>
    <w:rsid w:val="002826CE"/>
    <w:rsid w:val="002826E5"/>
    <w:rsid w:val="002826EE"/>
    <w:rsid w:val="002828C8"/>
    <w:rsid w:val="00282F81"/>
    <w:rsid w:val="00282FA7"/>
    <w:rsid w:val="00283341"/>
    <w:rsid w:val="00283449"/>
    <w:rsid w:val="002836EB"/>
    <w:rsid w:val="002836F2"/>
    <w:rsid w:val="00283A29"/>
    <w:rsid w:val="00283DB8"/>
    <w:rsid w:val="00283E10"/>
    <w:rsid w:val="0028431D"/>
    <w:rsid w:val="00284874"/>
    <w:rsid w:val="002848E1"/>
    <w:rsid w:val="002848F0"/>
    <w:rsid w:val="00284CBF"/>
    <w:rsid w:val="00284F3D"/>
    <w:rsid w:val="00285076"/>
    <w:rsid w:val="002850BF"/>
    <w:rsid w:val="002852E9"/>
    <w:rsid w:val="002854B2"/>
    <w:rsid w:val="00285CC4"/>
    <w:rsid w:val="0028604C"/>
    <w:rsid w:val="0028636A"/>
    <w:rsid w:val="002863CE"/>
    <w:rsid w:val="0028656F"/>
    <w:rsid w:val="002866B6"/>
    <w:rsid w:val="002868A8"/>
    <w:rsid w:val="002869A4"/>
    <w:rsid w:val="00286A0B"/>
    <w:rsid w:val="002870C5"/>
    <w:rsid w:val="00287116"/>
    <w:rsid w:val="00287265"/>
    <w:rsid w:val="00287436"/>
    <w:rsid w:val="00287B19"/>
    <w:rsid w:val="00287EBE"/>
    <w:rsid w:val="002900AA"/>
    <w:rsid w:val="002900B0"/>
    <w:rsid w:val="0029032D"/>
    <w:rsid w:val="002903FF"/>
    <w:rsid w:val="00290A19"/>
    <w:rsid w:val="00290A1E"/>
    <w:rsid w:val="00290CD1"/>
    <w:rsid w:val="0029137B"/>
    <w:rsid w:val="002913BB"/>
    <w:rsid w:val="00291742"/>
    <w:rsid w:val="00291D5D"/>
    <w:rsid w:val="00291F2A"/>
    <w:rsid w:val="002925C0"/>
    <w:rsid w:val="00292620"/>
    <w:rsid w:val="002928A2"/>
    <w:rsid w:val="00292AB4"/>
    <w:rsid w:val="00292B50"/>
    <w:rsid w:val="00292DC0"/>
    <w:rsid w:val="00292F1B"/>
    <w:rsid w:val="002932D0"/>
    <w:rsid w:val="00293321"/>
    <w:rsid w:val="002935AC"/>
    <w:rsid w:val="002935E2"/>
    <w:rsid w:val="002936B2"/>
    <w:rsid w:val="002937C0"/>
    <w:rsid w:val="00293A7A"/>
    <w:rsid w:val="0029415B"/>
    <w:rsid w:val="002944EB"/>
    <w:rsid w:val="00294591"/>
    <w:rsid w:val="00294662"/>
    <w:rsid w:val="00294E0B"/>
    <w:rsid w:val="002950A1"/>
    <w:rsid w:val="00295109"/>
    <w:rsid w:val="00295119"/>
    <w:rsid w:val="002951F7"/>
    <w:rsid w:val="002952D3"/>
    <w:rsid w:val="002957EA"/>
    <w:rsid w:val="002957F8"/>
    <w:rsid w:val="00295A87"/>
    <w:rsid w:val="00295A94"/>
    <w:rsid w:val="00295A9F"/>
    <w:rsid w:val="00295DB6"/>
    <w:rsid w:val="002963F1"/>
    <w:rsid w:val="002965E4"/>
    <w:rsid w:val="00296C1E"/>
    <w:rsid w:val="00296E94"/>
    <w:rsid w:val="002974FD"/>
    <w:rsid w:val="0029765B"/>
    <w:rsid w:val="00297761"/>
    <w:rsid w:val="00297913"/>
    <w:rsid w:val="00297F3D"/>
    <w:rsid w:val="002A0BB7"/>
    <w:rsid w:val="002A0CC2"/>
    <w:rsid w:val="002A0F20"/>
    <w:rsid w:val="002A183D"/>
    <w:rsid w:val="002A196D"/>
    <w:rsid w:val="002A19EF"/>
    <w:rsid w:val="002A1A26"/>
    <w:rsid w:val="002A2038"/>
    <w:rsid w:val="002A20D5"/>
    <w:rsid w:val="002A21F2"/>
    <w:rsid w:val="002A22B2"/>
    <w:rsid w:val="002A2440"/>
    <w:rsid w:val="002A2455"/>
    <w:rsid w:val="002A250F"/>
    <w:rsid w:val="002A2943"/>
    <w:rsid w:val="002A2A63"/>
    <w:rsid w:val="002A2AFB"/>
    <w:rsid w:val="002A2BEF"/>
    <w:rsid w:val="002A2C95"/>
    <w:rsid w:val="002A2CC1"/>
    <w:rsid w:val="002A3377"/>
    <w:rsid w:val="002A3BD7"/>
    <w:rsid w:val="002A3CD4"/>
    <w:rsid w:val="002A4071"/>
    <w:rsid w:val="002A4321"/>
    <w:rsid w:val="002A44F7"/>
    <w:rsid w:val="002A4920"/>
    <w:rsid w:val="002A4A45"/>
    <w:rsid w:val="002A5191"/>
    <w:rsid w:val="002A536D"/>
    <w:rsid w:val="002A5633"/>
    <w:rsid w:val="002A5739"/>
    <w:rsid w:val="002A5944"/>
    <w:rsid w:val="002A5A5B"/>
    <w:rsid w:val="002A5E26"/>
    <w:rsid w:val="002A6762"/>
    <w:rsid w:val="002A6917"/>
    <w:rsid w:val="002A697E"/>
    <w:rsid w:val="002A6E0B"/>
    <w:rsid w:val="002A703C"/>
    <w:rsid w:val="002A70BD"/>
    <w:rsid w:val="002A747E"/>
    <w:rsid w:val="002A78A3"/>
    <w:rsid w:val="002A79D7"/>
    <w:rsid w:val="002A7BF6"/>
    <w:rsid w:val="002B03C1"/>
    <w:rsid w:val="002B06EF"/>
    <w:rsid w:val="002B0E2D"/>
    <w:rsid w:val="002B1028"/>
    <w:rsid w:val="002B1378"/>
    <w:rsid w:val="002B13A6"/>
    <w:rsid w:val="002B1400"/>
    <w:rsid w:val="002B140D"/>
    <w:rsid w:val="002B1506"/>
    <w:rsid w:val="002B1540"/>
    <w:rsid w:val="002B1686"/>
    <w:rsid w:val="002B16F7"/>
    <w:rsid w:val="002B181E"/>
    <w:rsid w:val="002B194B"/>
    <w:rsid w:val="002B19F9"/>
    <w:rsid w:val="002B2221"/>
    <w:rsid w:val="002B22C7"/>
    <w:rsid w:val="002B25E2"/>
    <w:rsid w:val="002B284F"/>
    <w:rsid w:val="002B28D9"/>
    <w:rsid w:val="002B2BDA"/>
    <w:rsid w:val="002B2BF4"/>
    <w:rsid w:val="002B2E79"/>
    <w:rsid w:val="002B2EB6"/>
    <w:rsid w:val="002B2F55"/>
    <w:rsid w:val="002B300C"/>
    <w:rsid w:val="002B3030"/>
    <w:rsid w:val="002B3A78"/>
    <w:rsid w:val="002B3A9B"/>
    <w:rsid w:val="002B3E84"/>
    <w:rsid w:val="002B3F9D"/>
    <w:rsid w:val="002B432A"/>
    <w:rsid w:val="002B440A"/>
    <w:rsid w:val="002B446F"/>
    <w:rsid w:val="002B49DB"/>
    <w:rsid w:val="002B4A2B"/>
    <w:rsid w:val="002B4A74"/>
    <w:rsid w:val="002B4B5F"/>
    <w:rsid w:val="002B4C61"/>
    <w:rsid w:val="002B5106"/>
    <w:rsid w:val="002B522E"/>
    <w:rsid w:val="002B52A1"/>
    <w:rsid w:val="002B55AE"/>
    <w:rsid w:val="002B5C78"/>
    <w:rsid w:val="002B5F87"/>
    <w:rsid w:val="002B6154"/>
    <w:rsid w:val="002B6360"/>
    <w:rsid w:val="002B64AD"/>
    <w:rsid w:val="002B663B"/>
    <w:rsid w:val="002B6687"/>
    <w:rsid w:val="002B66A1"/>
    <w:rsid w:val="002B687A"/>
    <w:rsid w:val="002B6A32"/>
    <w:rsid w:val="002B6E2C"/>
    <w:rsid w:val="002B743C"/>
    <w:rsid w:val="002B77C0"/>
    <w:rsid w:val="002B78DF"/>
    <w:rsid w:val="002C0764"/>
    <w:rsid w:val="002C09A7"/>
    <w:rsid w:val="002C0AB5"/>
    <w:rsid w:val="002C17AB"/>
    <w:rsid w:val="002C18DD"/>
    <w:rsid w:val="002C1C54"/>
    <w:rsid w:val="002C200E"/>
    <w:rsid w:val="002C207B"/>
    <w:rsid w:val="002C2130"/>
    <w:rsid w:val="002C2283"/>
    <w:rsid w:val="002C289D"/>
    <w:rsid w:val="002C29F1"/>
    <w:rsid w:val="002C2A50"/>
    <w:rsid w:val="002C2D48"/>
    <w:rsid w:val="002C2D4E"/>
    <w:rsid w:val="002C3095"/>
    <w:rsid w:val="002C32BB"/>
    <w:rsid w:val="002C37A9"/>
    <w:rsid w:val="002C37F5"/>
    <w:rsid w:val="002C3AF7"/>
    <w:rsid w:val="002C420B"/>
    <w:rsid w:val="002C42BB"/>
    <w:rsid w:val="002C4318"/>
    <w:rsid w:val="002C4347"/>
    <w:rsid w:val="002C4477"/>
    <w:rsid w:val="002C4553"/>
    <w:rsid w:val="002C46C8"/>
    <w:rsid w:val="002C4C19"/>
    <w:rsid w:val="002C4DD5"/>
    <w:rsid w:val="002C4EE9"/>
    <w:rsid w:val="002C4F24"/>
    <w:rsid w:val="002C5024"/>
    <w:rsid w:val="002C506D"/>
    <w:rsid w:val="002C5175"/>
    <w:rsid w:val="002C5188"/>
    <w:rsid w:val="002C5205"/>
    <w:rsid w:val="002C57C1"/>
    <w:rsid w:val="002C582F"/>
    <w:rsid w:val="002C5B79"/>
    <w:rsid w:val="002C5D0E"/>
    <w:rsid w:val="002C5D5B"/>
    <w:rsid w:val="002C5DF3"/>
    <w:rsid w:val="002C605A"/>
    <w:rsid w:val="002C63E3"/>
    <w:rsid w:val="002C63F4"/>
    <w:rsid w:val="002C64A4"/>
    <w:rsid w:val="002C6885"/>
    <w:rsid w:val="002C68F4"/>
    <w:rsid w:val="002C6B22"/>
    <w:rsid w:val="002C6F59"/>
    <w:rsid w:val="002C72AF"/>
    <w:rsid w:val="002C72C7"/>
    <w:rsid w:val="002C7862"/>
    <w:rsid w:val="002D0100"/>
    <w:rsid w:val="002D013D"/>
    <w:rsid w:val="002D03E7"/>
    <w:rsid w:val="002D04D8"/>
    <w:rsid w:val="002D0702"/>
    <w:rsid w:val="002D075B"/>
    <w:rsid w:val="002D0ACA"/>
    <w:rsid w:val="002D0E8C"/>
    <w:rsid w:val="002D0FE8"/>
    <w:rsid w:val="002D1583"/>
    <w:rsid w:val="002D1587"/>
    <w:rsid w:val="002D1799"/>
    <w:rsid w:val="002D18B1"/>
    <w:rsid w:val="002D1C87"/>
    <w:rsid w:val="002D2095"/>
    <w:rsid w:val="002D30C0"/>
    <w:rsid w:val="002D3215"/>
    <w:rsid w:val="002D338B"/>
    <w:rsid w:val="002D3445"/>
    <w:rsid w:val="002D36A5"/>
    <w:rsid w:val="002D3888"/>
    <w:rsid w:val="002D4108"/>
    <w:rsid w:val="002D4149"/>
    <w:rsid w:val="002D42AA"/>
    <w:rsid w:val="002D4483"/>
    <w:rsid w:val="002D468C"/>
    <w:rsid w:val="002D4766"/>
    <w:rsid w:val="002D54A1"/>
    <w:rsid w:val="002D5673"/>
    <w:rsid w:val="002D5845"/>
    <w:rsid w:val="002D59A8"/>
    <w:rsid w:val="002D5A28"/>
    <w:rsid w:val="002D5EC4"/>
    <w:rsid w:val="002D5ED4"/>
    <w:rsid w:val="002D5F6C"/>
    <w:rsid w:val="002D68E4"/>
    <w:rsid w:val="002D6E80"/>
    <w:rsid w:val="002D6EA2"/>
    <w:rsid w:val="002D7099"/>
    <w:rsid w:val="002D7A8F"/>
    <w:rsid w:val="002D7C54"/>
    <w:rsid w:val="002D7D55"/>
    <w:rsid w:val="002D7DA2"/>
    <w:rsid w:val="002E022A"/>
    <w:rsid w:val="002E02AB"/>
    <w:rsid w:val="002E064C"/>
    <w:rsid w:val="002E08D8"/>
    <w:rsid w:val="002E0942"/>
    <w:rsid w:val="002E0A8C"/>
    <w:rsid w:val="002E0AD3"/>
    <w:rsid w:val="002E0AED"/>
    <w:rsid w:val="002E0E5F"/>
    <w:rsid w:val="002E0FA7"/>
    <w:rsid w:val="002E1039"/>
    <w:rsid w:val="002E1042"/>
    <w:rsid w:val="002E124C"/>
    <w:rsid w:val="002E1266"/>
    <w:rsid w:val="002E13FB"/>
    <w:rsid w:val="002E14B3"/>
    <w:rsid w:val="002E19FD"/>
    <w:rsid w:val="002E1B8B"/>
    <w:rsid w:val="002E1E75"/>
    <w:rsid w:val="002E24B9"/>
    <w:rsid w:val="002E288F"/>
    <w:rsid w:val="002E2AEB"/>
    <w:rsid w:val="002E2D80"/>
    <w:rsid w:val="002E2D88"/>
    <w:rsid w:val="002E30B6"/>
    <w:rsid w:val="002E3287"/>
    <w:rsid w:val="002E3318"/>
    <w:rsid w:val="002E36AA"/>
    <w:rsid w:val="002E3824"/>
    <w:rsid w:val="002E3DBC"/>
    <w:rsid w:val="002E3EFF"/>
    <w:rsid w:val="002E4345"/>
    <w:rsid w:val="002E440C"/>
    <w:rsid w:val="002E46A9"/>
    <w:rsid w:val="002E4856"/>
    <w:rsid w:val="002E4AE2"/>
    <w:rsid w:val="002E4CE6"/>
    <w:rsid w:val="002E4D7A"/>
    <w:rsid w:val="002E4D88"/>
    <w:rsid w:val="002E51D3"/>
    <w:rsid w:val="002E5398"/>
    <w:rsid w:val="002E54EC"/>
    <w:rsid w:val="002E54F8"/>
    <w:rsid w:val="002E55B2"/>
    <w:rsid w:val="002E56AC"/>
    <w:rsid w:val="002E59C3"/>
    <w:rsid w:val="002E5A1D"/>
    <w:rsid w:val="002E5AE0"/>
    <w:rsid w:val="002E5C21"/>
    <w:rsid w:val="002E5C64"/>
    <w:rsid w:val="002E5DFB"/>
    <w:rsid w:val="002E5EA1"/>
    <w:rsid w:val="002E5EF5"/>
    <w:rsid w:val="002E6234"/>
    <w:rsid w:val="002E629E"/>
    <w:rsid w:val="002E6542"/>
    <w:rsid w:val="002E6A2D"/>
    <w:rsid w:val="002E6C73"/>
    <w:rsid w:val="002E6CCD"/>
    <w:rsid w:val="002E6E70"/>
    <w:rsid w:val="002E6E9A"/>
    <w:rsid w:val="002E6EBC"/>
    <w:rsid w:val="002E7053"/>
    <w:rsid w:val="002E747C"/>
    <w:rsid w:val="002E7545"/>
    <w:rsid w:val="002E78D5"/>
    <w:rsid w:val="002E7AE9"/>
    <w:rsid w:val="002E7DE6"/>
    <w:rsid w:val="002F0069"/>
    <w:rsid w:val="002F040F"/>
    <w:rsid w:val="002F0574"/>
    <w:rsid w:val="002F0AD7"/>
    <w:rsid w:val="002F0B20"/>
    <w:rsid w:val="002F0D3A"/>
    <w:rsid w:val="002F0E1F"/>
    <w:rsid w:val="002F0F8C"/>
    <w:rsid w:val="002F10A6"/>
    <w:rsid w:val="002F10D2"/>
    <w:rsid w:val="002F1179"/>
    <w:rsid w:val="002F1419"/>
    <w:rsid w:val="002F185B"/>
    <w:rsid w:val="002F1A4A"/>
    <w:rsid w:val="002F1B7D"/>
    <w:rsid w:val="002F1C4E"/>
    <w:rsid w:val="002F1EA8"/>
    <w:rsid w:val="002F2047"/>
    <w:rsid w:val="002F207A"/>
    <w:rsid w:val="002F20C5"/>
    <w:rsid w:val="002F247E"/>
    <w:rsid w:val="002F24C1"/>
    <w:rsid w:val="002F27DF"/>
    <w:rsid w:val="002F2B7A"/>
    <w:rsid w:val="002F2F0C"/>
    <w:rsid w:val="002F2FB1"/>
    <w:rsid w:val="002F30A7"/>
    <w:rsid w:val="002F30ED"/>
    <w:rsid w:val="002F3A04"/>
    <w:rsid w:val="002F3B2D"/>
    <w:rsid w:val="002F3B6A"/>
    <w:rsid w:val="002F42A6"/>
    <w:rsid w:val="002F42AF"/>
    <w:rsid w:val="002F42B1"/>
    <w:rsid w:val="002F42FE"/>
    <w:rsid w:val="002F435A"/>
    <w:rsid w:val="002F4426"/>
    <w:rsid w:val="002F482E"/>
    <w:rsid w:val="002F48D6"/>
    <w:rsid w:val="002F4A2D"/>
    <w:rsid w:val="002F4C22"/>
    <w:rsid w:val="002F4F34"/>
    <w:rsid w:val="002F51A0"/>
    <w:rsid w:val="002F528E"/>
    <w:rsid w:val="002F5410"/>
    <w:rsid w:val="002F545F"/>
    <w:rsid w:val="002F588A"/>
    <w:rsid w:val="002F5907"/>
    <w:rsid w:val="002F5A27"/>
    <w:rsid w:val="002F5A7B"/>
    <w:rsid w:val="002F5C8A"/>
    <w:rsid w:val="002F5CA8"/>
    <w:rsid w:val="002F5E91"/>
    <w:rsid w:val="002F5F92"/>
    <w:rsid w:val="002F60B4"/>
    <w:rsid w:val="002F65FD"/>
    <w:rsid w:val="002F7203"/>
    <w:rsid w:val="002F730F"/>
    <w:rsid w:val="002F73C6"/>
    <w:rsid w:val="002F75F9"/>
    <w:rsid w:val="002F773B"/>
    <w:rsid w:val="002F7C2F"/>
    <w:rsid w:val="002F7D0D"/>
    <w:rsid w:val="003002F1"/>
    <w:rsid w:val="0030087E"/>
    <w:rsid w:val="00300928"/>
    <w:rsid w:val="00300DC4"/>
    <w:rsid w:val="00300F45"/>
    <w:rsid w:val="00301713"/>
    <w:rsid w:val="003018F5"/>
    <w:rsid w:val="003019B5"/>
    <w:rsid w:val="00301D2F"/>
    <w:rsid w:val="00302258"/>
    <w:rsid w:val="00302449"/>
    <w:rsid w:val="00302538"/>
    <w:rsid w:val="003025F2"/>
    <w:rsid w:val="0030277E"/>
    <w:rsid w:val="00302B28"/>
    <w:rsid w:val="0030300D"/>
    <w:rsid w:val="00303444"/>
    <w:rsid w:val="00303A56"/>
    <w:rsid w:val="00303D76"/>
    <w:rsid w:val="00303E04"/>
    <w:rsid w:val="00303E57"/>
    <w:rsid w:val="00304736"/>
    <w:rsid w:val="003047B9"/>
    <w:rsid w:val="00304FAA"/>
    <w:rsid w:val="003050BF"/>
    <w:rsid w:val="0030556E"/>
    <w:rsid w:val="003058DC"/>
    <w:rsid w:val="00305923"/>
    <w:rsid w:val="00305997"/>
    <w:rsid w:val="00305C30"/>
    <w:rsid w:val="00305DFB"/>
    <w:rsid w:val="00306A30"/>
    <w:rsid w:val="00306EF9"/>
    <w:rsid w:val="00307055"/>
    <w:rsid w:val="003072B5"/>
    <w:rsid w:val="003073ED"/>
    <w:rsid w:val="003079C7"/>
    <w:rsid w:val="00307B1A"/>
    <w:rsid w:val="00310064"/>
    <w:rsid w:val="003100E8"/>
    <w:rsid w:val="00310203"/>
    <w:rsid w:val="00310571"/>
    <w:rsid w:val="0031081A"/>
    <w:rsid w:val="00310CBB"/>
    <w:rsid w:val="00310DE9"/>
    <w:rsid w:val="00311316"/>
    <w:rsid w:val="00311386"/>
    <w:rsid w:val="00311670"/>
    <w:rsid w:val="00311765"/>
    <w:rsid w:val="003117CB"/>
    <w:rsid w:val="00311E50"/>
    <w:rsid w:val="0031200C"/>
    <w:rsid w:val="00312179"/>
    <w:rsid w:val="0031223B"/>
    <w:rsid w:val="0031231E"/>
    <w:rsid w:val="00312C06"/>
    <w:rsid w:val="00312C37"/>
    <w:rsid w:val="00312EE5"/>
    <w:rsid w:val="0031306E"/>
    <w:rsid w:val="003131D5"/>
    <w:rsid w:val="003136F0"/>
    <w:rsid w:val="003137F2"/>
    <w:rsid w:val="00313877"/>
    <w:rsid w:val="003138F3"/>
    <w:rsid w:val="00313A4F"/>
    <w:rsid w:val="00313AA7"/>
    <w:rsid w:val="00313B9F"/>
    <w:rsid w:val="00313C4B"/>
    <w:rsid w:val="00313D67"/>
    <w:rsid w:val="00313E5F"/>
    <w:rsid w:val="00314192"/>
    <w:rsid w:val="00314368"/>
    <w:rsid w:val="00314525"/>
    <w:rsid w:val="00314703"/>
    <w:rsid w:val="003147D3"/>
    <w:rsid w:val="003149D5"/>
    <w:rsid w:val="00314B11"/>
    <w:rsid w:val="00314C72"/>
    <w:rsid w:val="00314CA9"/>
    <w:rsid w:val="00314CC9"/>
    <w:rsid w:val="00314D9B"/>
    <w:rsid w:val="00315042"/>
    <w:rsid w:val="00315425"/>
    <w:rsid w:val="00315488"/>
    <w:rsid w:val="003155B1"/>
    <w:rsid w:val="003155DB"/>
    <w:rsid w:val="00315609"/>
    <w:rsid w:val="00315C11"/>
    <w:rsid w:val="00315CC7"/>
    <w:rsid w:val="00315E2F"/>
    <w:rsid w:val="00316000"/>
    <w:rsid w:val="0031608A"/>
    <w:rsid w:val="003163BD"/>
    <w:rsid w:val="003163E6"/>
    <w:rsid w:val="00316495"/>
    <w:rsid w:val="0031652A"/>
    <w:rsid w:val="003166E5"/>
    <w:rsid w:val="003168A6"/>
    <w:rsid w:val="003169A3"/>
    <w:rsid w:val="00317282"/>
    <w:rsid w:val="0031746A"/>
    <w:rsid w:val="003176A5"/>
    <w:rsid w:val="003177CF"/>
    <w:rsid w:val="00317E43"/>
    <w:rsid w:val="00317EF9"/>
    <w:rsid w:val="003201A0"/>
    <w:rsid w:val="00320A3B"/>
    <w:rsid w:val="00320BA3"/>
    <w:rsid w:val="00320C88"/>
    <w:rsid w:val="0032112A"/>
    <w:rsid w:val="00321142"/>
    <w:rsid w:val="003219AC"/>
    <w:rsid w:val="00321D64"/>
    <w:rsid w:val="00321FC0"/>
    <w:rsid w:val="00322270"/>
    <w:rsid w:val="003222CE"/>
    <w:rsid w:val="00322415"/>
    <w:rsid w:val="00322467"/>
    <w:rsid w:val="003224C1"/>
    <w:rsid w:val="00322BAF"/>
    <w:rsid w:val="00322CAD"/>
    <w:rsid w:val="00322CBA"/>
    <w:rsid w:val="00322D6E"/>
    <w:rsid w:val="00322DE0"/>
    <w:rsid w:val="00323137"/>
    <w:rsid w:val="003232D8"/>
    <w:rsid w:val="003234AD"/>
    <w:rsid w:val="00323565"/>
    <w:rsid w:val="003235F0"/>
    <w:rsid w:val="003235F2"/>
    <w:rsid w:val="0032396D"/>
    <w:rsid w:val="00323B61"/>
    <w:rsid w:val="00323D17"/>
    <w:rsid w:val="00323E38"/>
    <w:rsid w:val="00323E7B"/>
    <w:rsid w:val="00323FAD"/>
    <w:rsid w:val="00324170"/>
    <w:rsid w:val="00324275"/>
    <w:rsid w:val="0032428B"/>
    <w:rsid w:val="00324340"/>
    <w:rsid w:val="003243FA"/>
    <w:rsid w:val="00324D46"/>
    <w:rsid w:val="00324F33"/>
    <w:rsid w:val="0032507B"/>
    <w:rsid w:val="0032552D"/>
    <w:rsid w:val="0032575E"/>
    <w:rsid w:val="00325819"/>
    <w:rsid w:val="003259F8"/>
    <w:rsid w:val="00325ED7"/>
    <w:rsid w:val="00325F08"/>
    <w:rsid w:val="00326143"/>
    <w:rsid w:val="003267AE"/>
    <w:rsid w:val="00326B25"/>
    <w:rsid w:val="00326C6D"/>
    <w:rsid w:val="00326D5D"/>
    <w:rsid w:val="00326E7E"/>
    <w:rsid w:val="00326EFC"/>
    <w:rsid w:val="00326FC9"/>
    <w:rsid w:val="00327385"/>
    <w:rsid w:val="0032751A"/>
    <w:rsid w:val="003276EE"/>
    <w:rsid w:val="00327757"/>
    <w:rsid w:val="00327887"/>
    <w:rsid w:val="003279AF"/>
    <w:rsid w:val="00327A21"/>
    <w:rsid w:val="00327B76"/>
    <w:rsid w:val="00327CC8"/>
    <w:rsid w:val="00330170"/>
    <w:rsid w:val="00330429"/>
    <w:rsid w:val="003309DD"/>
    <w:rsid w:val="00330BBC"/>
    <w:rsid w:val="00330CA7"/>
    <w:rsid w:val="00330EDE"/>
    <w:rsid w:val="00331044"/>
    <w:rsid w:val="003310BC"/>
    <w:rsid w:val="00331340"/>
    <w:rsid w:val="003313F6"/>
    <w:rsid w:val="003314C5"/>
    <w:rsid w:val="00331686"/>
    <w:rsid w:val="003318F1"/>
    <w:rsid w:val="00331A3D"/>
    <w:rsid w:val="00331AB3"/>
    <w:rsid w:val="00331CAC"/>
    <w:rsid w:val="00331CD1"/>
    <w:rsid w:val="00331F9F"/>
    <w:rsid w:val="00332018"/>
    <w:rsid w:val="00332109"/>
    <w:rsid w:val="003321C5"/>
    <w:rsid w:val="00332307"/>
    <w:rsid w:val="00332934"/>
    <w:rsid w:val="00332FB3"/>
    <w:rsid w:val="003330D6"/>
    <w:rsid w:val="00333627"/>
    <w:rsid w:val="003338B8"/>
    <w:rsid w:val="00333957"/>
    <w:rsid w:val="00333A38"/>
    <w:rsid w:val="00333BA6"/>
    <w:rsid w:val="00333FE5"/>
    <w:rsid w:val="00333FF2"/>
    <w:rsid w:val="0033410C"/>
    <w:rsid w:val="0033436B"/>
    <w:rsid w:val="003345F0"/>
    <w:rsid w:val="00334640"/>
    <w:rsid w:val="00334747"/>
    <w:rsid w:val="00334798"/>
    <w:rsid w:val="00334866"/>
    <w:rsid w:val="00334D62"/>
    <w:rsid w:val="0033515B"/>
    <w:rsid w:val="0033533A"/>
    <w:rsid w:val="003353AC"/>
    <w:rsid w:val="00335659"/>
    <w:rsid w:val="003357A7"/>
    <w:rsid w:val="00335A9F"/>
    <w:rsid w:val="00335BA9"/>
    <w:rsid w:val="00335BD7"/>
    <w:rsid w:val="00335C8D"/>
    <w:rsid w:val="00335F36"/>
    <w:rsid w:val="003361B7"/>
    <w:rsid w:val="00336248"/>
    <w:rsid w:val="00336522"/>
    <w:rsid w:val="00336559"/>
    <w:rsid w:val="00336740"/>
    <w:rsid w:val="00336965"/>
    <w:rsid w:val="00336B08"/>
    <w:rsid w:val="00336C41"/>
    <w:rsid w:val="00336D94"/>
    <w:rsid w:val="00337426"/>
    <w:rsid w:val="00337500"/>
    <w:rsid w:val="00337573"/>
    <w:rsid w:val="003376D5"/>
    <w:rsid w:val="00337CC8"/>
    <w:rsid w:val="00340157"/>
    <w:rsid w:val="003401E7"/>
    <w:rsid w:val="003402AD"/>
    <w:rsid w:val="00340840"/>
    <w:rsid w:val="00340A92"/>
    <w:rsid w:val="00340AB3"/>
    <w:rsid w:val="00340CFF"/>
    <w:rsid w:val="003411B0"/>
    <w:rsid w:val="003413B2"/>
    <w:rsid w:val="00341589"/>
    <w:rsid w:val="00341733"/>
    <w:rsid w:val="0034186B"/>
    <w:rsid w:val="00341A37"/>
    <w:rsid w:val="00341A9F"/>
    <w:rsid w:val="00341B03"/>
    <w:rsid w:val="00341C54"/>
    <w:rsid w:val="00341DE8"/>
    <w:rsid w:val="0034201B"/>
    <w:rsid w:val="00342106"/>
    <w:rsid w:val="003421EC"/>
    <w:rsid w:val="0034237B"/>
    <w:rsid w:val="00342408"/>
    <w:rsid w:val="0034248E"/>
    <w:rsid w:val="003425FA"/>
    <w:rsid w:val="0034275D"/>
    <w:rsid w:val="003429DB"/>
    <w:rsid w:val="00342ABA"/>
    <w:rsid w:val="00342B76"/>
    <w:rsid w:val="00342D0B"/>
    <w:rsid w:val="0034311E"/>
    <w:rsid w:val="003431E4"/>
    <w:rsid w:val="0034375E"/>
    <w:rsid w:val="00343A6B"/>
    <w:rsid w:val="00343A92"/>
    <w:rsid w:val="00343C01"/>
    <w:rsid w:val="00343C3B"/>
    <w:rsid w:val="00344404"/>
    <w:rsid w:val="003444C6"/>
    <w:rsid w:val="00344548"/>
    <w:rsid w:val="00344A85"/>
    <w:rsid w:val="00344B12"/>
    <w:rsid w:val="00344BD8"/>
    <w:rsid w:val="00344C20"/>
    <w:rsid w:val="00344DA9"/>
    <w:rsid w:val="00344E66"/>
    <w:rsid w:val="00344F46"/>
    <w:rsid w:val="00345040"/>
    <w:rsid w:val="00345165"/>
    <w:rsid w:val="00345289"/>
    <w:rsid w:val="003452DC"/>
    <w:rsid w:val="003453E3"/>
    <w:rsid w:val="003456EF"/>
    <w:rsid w:val="0034582A"/>
    <w:rsid w:val="00345E99"/>
    <w:rsid w:val="00345EA3"/>
    <w:rsid w:val="00345F88"/>
    <w:rsid w:val="00346267"/>
    <w:rsid w:val="0034628C"/>
    <w:rsid w:val="0034666D"/>
    <w:rsid w:val="003467F9"/>
    <w:rsid w:val="00346C06"/>
    <w:rsid w:val="00346D8B"/>
    <w:rsid w:val="00347127"/>
    <w:rsid w:val="00347539"/>
    <w:rsid w:val="00347671"/>
    <w:rsid w:val="0034774C"/>
    <w:rsid w:val="00347B3C"/>
    <w:rsid w:val="00347C2B"/>
    <w:rsid w:val="00347E17"/>
    <w:rsid w:val="003503DB"/>
    <w:rsid w:val="0035069B"/>
    <w:rsid w:val="00350735"/>
    <w:rsid w:val="00350AFC"/>
    <w:rsid w:val="00350E8C"/>
    <w:rsid w:val="00350EF5"/>
    <w:rsid w:val="0035103E"/>
    <w:rsid w:val="00351157"/>
    <w:rsid w:val="003511CE"/>
    <w:rsid w:val="00351265"/>
    <w:rsid w:val="003514C9"/>
    <w:rsid w:val="00351587"/>
    <w:rsid w:val="003519A4"/>
    <w:rsid w:val="00351AE3"/>
    <w:rsid w:val="00351C5E"/>
    <w:rsid w:val="0035200E"/>
    <w:rsid w:val="00352255"/>
    <w:rsid w:val="003523CC"/>
    <w:rsid w:val="00352582"/>
    <w:rsid w:val="00352B9B"/>
    <w:rsid w:val="00352BAE"/>
    <w:rsid w:val="00352CB0"/>
    <w:rsid w:val="00352D6A"/>
    <w:rsid w:val="00352D74"/>
    <w:rsid w:val="00352E87"/>
    <w:rsid w:val="003531C1"/>
    <w:rsid w:val="003533EA"/>
    <w:rsid w:val="0035376B"/>
    <w:rsid w:val="00353875"/>
    <w:rsid w:val="00353879"/>
    <w:rsid w:val="0035388B"/>
    <w:rsid w:val="00353D0D"/>
    <w:rsid w:val="00353D78"/>
    <w:rsid w:val="00354209"/>
    <w:rsid w:val="00354411"/>
    <w:rsid w:val="00354491"/>
    <w:rsid w:val="003544ED"/>
    <w:rsid w:val="0035451D"/>
    <w:rsid w:val="00354600"/>
    <w:rsid w:val="0035497F"/>
    <w:rsid w:val="00354B99"/>
    <w:rsid w:val="0035555B"/>
    <w:rsid w:val="003555BA"/>
    <w:rsid w:val="003555BF"/>
    <w:rsid w:val="00355637"/>
    <w:rsid w:val="00355678"/>
    <w:rsid w:val="00355AE8"/>
    <w:rsid w:val="00355F75"/>
    <w:rsid w:val="00355F99"/>
    <w:rsid w:val="00356138"/>
    <w:rsid w:val="0035642C"/>
    <w:rsid w:val="00356717"/>
    <w:rsid w:val="003567D1"/>
    <w:rsid w:val="00356B3D"/>
    <w:rsid w:val="00356D94"/>
    <w:rsid w:val="00356FE2"/>
    <w:rsid w:val="00357147"/>
    <w:rsid w:val="003574AA"/>
    <w:rsid w:val="00357A29"/>
    <w:rsid w:val="00357D29"/>
    <w:rsid w:val="00360037"/>
    <w:rsid w:val="00360403"/>
    <w:rsid w:val="0036041E"/>
    <w:rsid w:val="00360A18"/>
    <w:rsid w:val="00360A81"/>
    <w:rsid w:val="00360EE3"/>
    <w:rsid w:val="00361295"/>
    <w:rsid w:val="00361CE9"/>
    <w:rsid w:val="00361DCD"/>
    <w:rsid w:val="0036210F"/>
    <w:rsid w:val="0036265B"/>
    <w:rsid w:val="00362901"/>
    <w:rsid w:val="00362A2F"/>
    <w:rsid w:val="00362D38"/>
    <w:rsid w:val="00362FF1"/>
    <w:rsid w:val="003632CD"/>
    <w:rsid w:val="0036396B"/>
    <w:rsid w:val="00363D24"/>
    <w:rsid w:val="00363D85"/>
    <w:rsid w:val="00363E20"/>
    <w:rsid w:val="003640A5"/>
    <w:rsid w:val="0036426D"/>
    <w:rsid w:val="003643E4"/>
    <w:rsid w:val="0036442D"/>
    <w:rsid w:val="0036455C"/>
    <w:rsid w:val="00364572"/>
    <w:rsid w:val="003646B5"/>
    <w:rsid w:val="00364B99"/>
    <w:rsid w:val="00364C66"/>
    <w:rsid w:val="00364D02"/>
    <w:rsid w:val="00364FFB"/>
    <w:rsid w:val="003652D6"/>
    <w:rsid w:val="00365412"/>
    <w:rsid w:val="00365434"/>
    <w:rsid w:val="00365699"/>
    <w:rsid w:val="003657CA"/>
    <w:rsid w:val="003657E2"/>
    <w:rsid w:val="00365D29"/>
    <w:rsid w:val="00365F88"/>
    <w:rsid w:val="003662A3"/>
    <w:rsid w:val="003662E4"/>
    <w:rsid w:val="00366356"/>
    <w:rsid w:val="0036677D"/>
    <w:rsid w:val="0036683B"/>
    <w:rsid w:val="00366BD3"/>
    <w:rsid w:val="00366C15"/>
    <w:rsid w:val="00366D41"/>
    <w:rsid w:val="00367187"/>
    <w:rsid w:val="003671E3"/>
    <w:rsid w:val="00367358"/>
    <w:rsid w:val="0036736F"/>
    <w:rsid w:val="003674F6"/>
    <w:rsid w:val="003676BE"/>
    <w:rsid w:val="003678F5"/>
    <w:rsid w:val="00367C2D"/>
    <w:rsid w:val="00367CED"/>
    <w:rsid w:val="00367D63"/>
    <w:rsid w:val="00367E14"/>
    <w:rsid w:val="00367F31"/>
    <w:rsid w:val="0037008A"/>
    <w:rsid w:val="003702A3"/>
    <w:rsid w:val="003705DF"/>
    <w:rsid w:val="00370919"/>
    <w:rsid w:val="00370AAF"/>
    <w:rsid w:val="00370CA8"/>
    <w:rsid w:val="003713F5"/>
    <w:rsid w:val="003716F9"/>
    <w:rsid w:val="003717FC"/>
    <w:rsid w:val="00371A70"/>
    <w:rsid w:val="00371AA9"/>
    <w:rsid w:val="00371D67"/>
    <w:rsid w:val="003722C6"/>
    <w:rsid w:val="00372D19"/>
    <w:rsid w:val="00373054"/>
    <w:rsid w:val="0037323F"/>
    <w:rsid w:val="00373904"/>
    <w:rsid w:val="00373AFB"/>
    <w:rsid w:val="00373B2E"/>
    <w:rsid w:val="00373BDF"/>
    <w:rsid w:val="00373F8A"/>
    <w:rsid w:val="00374023"/>
    <w:rsid w:val="00374103"/>
    <w:rsid w:val="00374118"/>
    <w:rsid w:val="00374A13"/>
    <w:rsid w:val="00374F58"/>
    <w:rsid w:val="00375AD8"/>
    <w:rsid w:val="00375AF2"/>
    <w:rsid w:val="00375B41"/>
    <w:rsid w:val="00375CAC"/>
    <w:rsid w:val="00375EB1"/>
    <w:rsid w:val="00375EDB"/>
    <w:rsid w:val="00375FE3"/>
    <w:rsid w:val="003763D0"/>
    <w:rsid w:val="00376545"/>
    <w:rsid w:val="00376631"/>
    <w:rsid w:val="00376710"/>
    <w:rsid w:val="0037675C"/>
    <w:rsid w:val="00376CEA"/>
    <w:rsid w:val="00376EF2"/>
    <w:rsid w:val="00377086"/>
    <w:rsid w:val="003771E5"/>
    <w:rsid w:val="00377558"/>
    <w:rsid w:val="00377678"/>
    <w:rsid w:val="003776EC"/>
    <w:rsid w:val="00377883"/>
    <w:rsid w:val="00377ABC"/>
    <w:rsid w:val="0038022B"/>
    <w:rsid w:val="003806F4"/>
    <w:rsid w:val="00380826"/>
    <w:rsid w:val="003809F8"/>
    <w:rsid w:val="00380A5D"/>
    <w:rsid w:val="00380A79"/>
    <w:rsid w:val="0038148D"/>
    <w:rsid w:val="0038159A"/>
    <w:rsid w:val="003815EF"/>
    <w:rsid w:val="00381694"/>
    <w:rsid w:val="003817A7"/>
    <w:rsid w:val="00381AA9"/>
    <w:rsid w:val="00381AC2"/>
    <w:rsid w:val="00381C28"/>
    <w:rsid w:val="00381E2A"/>
    <w:rsid w:val="00381FE0"/>
    <w:rsid w:val="00382027"/>
    <w:rsid w:val="003821B0"/>
    <w:rsid w:val="003821B6"/>
    <w:rsid w:val="0038222D"/>
    <w:rsid w:val="00382253"/>
    <w:rsid w:val="00382435"/>
    <w:rsid w:val="003827F1"/>
    <w:rsid w:val="00382BF6"/>
    <w:rsid w:val="00383017"/>
    <w:rsid w:val="003831DF"/>
    <w:rsid w:val="0038325B"/>
    <w:rsid w:val="0038363B"/>
    <w:rsid w:val="003837DF"/>
    <w:rsid w:val="00383C20"/>
    <w:rsid w:val="00383F2B"/>
    <w:rsid w:val="00384377"/>
    <w:rsid w:val="0038442D"/>
    <w:rsid w:val="0038496F"/>
    <w:rsid w:val="00384A29"/>
    <w:rsid w:val="00384AB8"/>
    <w:rsid w:val="00384B49"/>
    <w:rsid w:val="00384D13"/>
    <w:rsid w:val="0038514B"/>
    <w:rsid w:val="00385282"/>
    <w:rsid w:val="00385322"/>
    <w:rsid w:val="003854BE"/>
    <w:rsid w:val="00385C62"/>
    <w:rsid w:val="00385D48"/>
    <w:rsid w:val="00385E5A"/>
    <w:rsid w:val="00385F73"/>
    <w:rsid w:val="00386273"/>
    <w:rsid w:val="0038645C"/>
    <w:rsid w:val="00386A19"/>
    <w:rsid w:val="00386A2E"/>
    <w:rsid w:val="00386A88"/>
    <w:rsid w:val="00386F07"/>
    <w:rsid w:val="00386FBA"/>
    <w:rsid w:val="00387032"/>
    <w:rsid w:val="0038721D"/>
    <w:rsid w:val="003873EC"/>
    <w:rsid w:val="003873FD"/>
    <w:rsid w:val="003876CE"/>
    <w:rsid w:val="00387826"/>
    <w:rsid w:val="003879AB"/>
    <w:rsid w:val="00387AF8"/>
    <w:rsid w:val="00387C2B"/>
    <w:rsid w:val="00387D6A"/>
    <w:rsid w:val="00387ED8"/>
    <w:rsid w:val="003902F0"/>
    <w:rsid w:val="0039051D"/>
    <w:rsid w:val="0039064B"/>
    <w:rsid w:val="003906BF"/>
    <w:rsid w:val="00390C3F"/>
    <w:rsid w:val="00390D23"/>
    <w:rsid w:val="00390D4C"/>
    <w:rsid w:val="00390FD5"/>
    <w:rsid w:val="00391195"/>
    <w:rsid w:val="00391314"/>
    <w:rsid w:val="00391321"/>
    <w:rsid w:val="00391355"/>
    <w:rsid w:val="00391421"/>
    <w:rsid w:val="00391473"/>
    <w:rsid w:val="0039153A"/>
    <w:rsid w:val="0039154C"/>
    <w:rsid w:val="00391561"/>
    <w:rsid w:val="00391642"/>
    <w:rsid w:val="00391EE5"/>
    <w:rsid w:val="00391F3C"/>
    <w:rsid w:val="00391F8B"/>
    <w:rsid w:val="003920EF"/>
    <w:rsid w:val="003921C0"/>
    <w:rsid w:val="003925FB"/>
    <w:rsid w:val="0039267A"/>
    <w:rsid w:val="00392960"/>
    <w:rsid w:val="00392A86"/>
    <w:rsid w:val="00392CB6"/>
    <w:rsid w:val="00392DED"/>
    <w:rsid w:val="00392ECD"/>
    <w:rsid w:val="00392EEE"/>
    <w:rsid w:val="00393035"/>
    <w:rsid w:val="00393038"/>
    <w:rsid w:val="003932EF"/>
    <w:rsid w:val="00393642"/>
    <w:rsid w:val="0039392E"/>
    <w:rsid w:val="003939FF"/>
    <w:rsid w:val="00393B1D"/>
    <w:rsid w:val="00393B92"/>
    <w:rsid w:val="00393E43"/>
    <w:rsid w:val="00394283"/>
    <w:rsid w:val="00394307"/>
    <w:rsid w:val="00394387"/>
    <w:rsid w:val="003946A8"/>
    <w:rsid w:val="003947F3"/>
    <w:rsid w:val="0039485E"/>
    <w:rsid w:val="00394AE5"/>
    <w:rsid w:val="00394AFC"/>
    <w:rsid w:val="00394B6C"/>
    <w:rsid w:val="00394C18"/>
    <w:rsid w:val="00394EB1"/>
    <w:rsid w:val="00394FB2"/>
    <w:rsid w:val="00395035"/>
    <w:rsid w:val="003950B4"/>
    <w:rsid w:val="00395197"/>
    <w:rsid w:val="0039531C"/>
    <w:rsid w:val="003953AA"/>
    <w:rsid w:val="003953D8"/>
    <w:rsid w:val="00395943"/>
    <w:rsid w:val="003959ED"/>
    <w:rsid w:val="00395A18"/>
    <w:rsid w:val="00395E0A"/>
    <w:rsid w:val="00395E49"/>
    <w:rsid w:val="0039613A"/>
    <w:rsid w:val="0039614D"/>
    <w:rsid w:val="00396164"/>
    <w:rsid w:val="003961D9"/>
    <w:rsid w:val="003964BC"/>
    <w:rsid w:val="00396581"/>
    <w:rsid w:val="00396885"/>
    <w:rsid w:val="00396AA4"/>
    <w:rsid w:val="00396BCF"/>
    <w:rsid w:val="00396D4A"/>
    <w:rsid w:val="00396E51"/>
    <w:rsid w:val="00396F37"/>
    <w:rsid w:val="00397129"/>
    <w:rsid w:val="0039726D"/>
    <w:rsid w:val="003974BD"/>
    <w:rsid w:val="00397514"/>
    <w:rsid w:val="003975C6"/>
    <w:rsid w:val="003976C1"/>
    <w:rsid w:val="00397804"/>
    <w:rsid w:val="003978E7"/>
    <w:rsid w:val="003978F5"/>
    <w:rsid w:val="00397968"/>
    <w:rsid w:val="00397D18"/>
    <w:rsid w:val="003A0253"/>
    <w:rsid w:val="003A0403"/>
    <w:rsid w:val="003A05B6"/>
    <w:rsid w:val="003A08F6"/>
    <w:rsid w:val="003A0A38"/>
    <w:rsid w:val="003A0C44"/>
    <w:rsid w:val="003A0ED0"/>
    <w:rsid w:val="003A0F60"/>
    <w:rsid w:val="003A10BF"/>
    <w:rsid w:val="003A116D"/>
    <w:rsid w:val="003A1479"/>
    <w:rsid w:val="003A1506"/>
    <w:rsid w:val="003A15FD"/>
    <w:rsid w:val="003A182F"/>
    <w:rsid w:val="003A198B"/>
    <w:rsid w:val="003A1B11"/>
    <w:rsid w:val="003A1F52"/>
    <w:rsid w:val="003A1FE1"/>
    <w:rsid w:val="003A2BF5"/>
    <w:rsid w:val="003A2D7A"/>
    <w:rsid w:val="003A2D96"/>
    <w:rsid w:val="003A2EAF"/>
    <w:rsid w:val="003A31A2"/>
    <w:rsid w:val="003A32AF"/>
    <w:rsid w:val="003A339C"/>
    <w:rsid w:val="003A342F"/>
    <w:rsid w:val="003A369B"/>
    <w:rsid w:val="003A3ABB"/>
    <w:rsid w:val="003A3BB3"/>
    <w:rsid w:val="003A3BE7"/>
    <w:rsid w:val="003A3CBE"/>
    <w:rsid w:val="003A3E1D"/>
    <w:rsid w:val="003A3F72"/>
    <w:rsid w:val="003A420F"/>
    <w:rsid w:val="003A434F"/>
    <w:rsid w:val="003A44FA"/>
    <w:rsid w:val="003A4852"/>
    <w:rsid w:val="003A4874"/>
    <w:rsid w:val="003A48CA"/>
    <w:rsid w:val="003A490A"/>
    <w:rsid w:val="003A4D6B"/>
    <w:rsid w:val="003A4E63"/>
    <w:rsid w:val="003A4FCA"/>
    <w:rsid w:val="003A51E2"/>
    <w:rsid w:val="003A53A6"/>
    <w:rsid w:val="003A556B"/>
    <w:rsid w:val="003A5A17"/>
    <w:rsid w:val="003A5A46"/>
    <w:rsid w:val="003A5B8A"/>
    <w:rsid w:val="003A5BFE"/>
    <w:rsid w:val="003A5CE6"/>
    <w:rsid w:val="003A5D35"/>
    <w:rsid w:val="003A5E72"/>
    <w:rsid w:val="003A5F3E"/>
    <w:rsid w:val="003A5F81"/>
    <w:rsid w:val="003A602B"/>
    <w:rsid w:val="003A60DE"/>
    <w:rsid w:val="003A61BD"/>
    <w:rsid w:val="003A6209"/>
    <w:rsid w:val="003A665C"/>
    <w:rsid w:val="003A6698"/>
    <w:rsid w:val="003A678F"/>
    <w:rsid w:val="003A68D8"/>
    <w:rsid w:val="003A6965"/>
    <w:rsid w:val="003A6D69"/>
    <w:rsid w:val="003A6EB0"/>
    <w:rsid w:val="003A71C9"/>
    <w:rsid w:val="003A7596"/>
    <w:rsid w:val="003A771A"/>
    <w:rsid w:val="003A7A0E"/>
    <w:rsid w:val="003A7BB2"/>
    <w:rsid w:val="003A7BD9"/>
    <w:rsid w:val="003B02A3"/>
    <w:rsid w:val="003B0320"/>
    <w:rsid w:val="003B05EB"/>
    <w:rsid w:val="003B067A"/>
    <w:rsid w:val="003B0887"/>
    <w:rsid w:val="003B108D"/>
    <w:rsid w:val="003B1114"/>
    <w:rsid w:val="003B159A"/>
    <w:rsid w:val="003B1712"/>
    <w:rsid w:val="003B183D"/>
    <w:rsid w:val="003B1CB7"/>
    <w:rsid w:val="003B1CE3"/>
    <w:rsid w:val="003B1FBD"/>
    <w:rsid w:val="003B2589"/>
    <w:rsid w:val="003B263B"/>
    <w:rsid w:val="003B2640"/>
    <w:rsid w:val="003B2765"/>
    <w:rsid w:val="003B2B90"/>
    <w:rsid w:val="003B2DA6"/>
    <w:rsid w:val="003B30FB"/>
    <w:rsid w:val="003B31AF"/>
    <w:rsid w:val="003B34B0"/>
    <w:rsid w:val="003B34DB"/>
    <w:rsid w:val="003B3AC6"/>
    <w:rsid w:val="003B3B03"/>
    <w:rsid w:val="003B3B38"/>
    <w:rsid w:val="003B40C3"/>
    <w:rsid w:val="003B44B1"/>
    <w:rsid w:val="003B44B4"/>
    <w:rsid w:val="003B44C1"/>
    <w:rsid w:val="003B4BD2"/>
    <w:rsid w:val="003B4DF5"/>
    <w:rsid w:val="003B50F5"/>
    <w:rsid w:val="003B51F6"/>
    <w:rsid w:val="003B52BF"/>
    <w:rsid w:val="003B543D"/>
    <w:rsid w:val="003B5607"/>
    <w:rsid w:val="003B5799"/>
    <w:rsid w:val="003B5A22"/>
    <w:rsid w:val="003B5D8F"/>
    <w:rsid w:val="003B61EE"/>
    <w:rsid w:val="003B64F2"/>
    <w:rsid w:val="003B668E"/>
    <w:rsid w:val="003B68EC"/>
    <w:rsid w:val="003B6AE3"/>
    <w:rsid w:val="003B6AED"/>
    <w:rsid w:val="003B6D16"/>
    <w:rsid w:val="003B6D3A"/>
    <w:rsid w:val="003B6D86"/>
    <w:rsid w:val="003B6F24"/>
    <w:rsid w:val="003B6FCF"/>
    <w:rsid w:val="003B753C"/>
    <w:rsid w:val="003B7650"/>
    <w:rsid w:val="003B76B5"/>
    <w:rsid w:val="003B76EC"/>
    <w:rsid w:val="003B7AC3"/>
    <w:rsid w:val="003B7B7A"/>
    <w:rsid w:val="003B7BBA"/>
    <w:rsid w:val="003B7C2D"/>
    <w:rsid w:val="003B7C7A"/>
    <w:rsid w:val="003B7F62"/>
    <w:rsid w:val="003C01A9"/>
    <w:rsid w:val="003C0238"/>
    <w:rsid w:val="003C02D9"/>
    <w:rsid w:val="003C0890"/>
    <w:rsid w:val="003C0ACB"/>
    <w:rsid w:val="003C0C27"/>
    <w:rsid w:val="003C0C9C"/>
    <w:rsid w:val="003C0EB5"/>
    <w:rsid w:val="003C0F86"/>
    <w:rsid w:val="003C1069"/>
    <w:rsid w:val="003C139B"/>
    <w:rsid w:val="003C14E7"/>
    <w:rsid w:val="003C192B"/>
    <w:rsid w:val="003C1B09"/>
    <w:rsid w:val="003C1C8F"/>
    <w:rsid w:val="003C23A7"/>
    <w:rsid w:val="003C274D"/>
    <w:rsid w:val="003C2795"/>
    <w:rsid w:val="003C27F3"/>
    <w:rsid w:val="003C290C"/>
    <w:rsid w:val="003C2982"/>
    <w:rsid w:val="003C29C1"/>
    <w:rsid w:val="003C2D86"/>
    <w:rsid w:val="003C2DFE"/>
    <w:rsid w:val="003C2F21"/>
    <w:rsid w:val="003C3953"/>
    <w:rsid w:val="003C3A51"/>
    <w:rsid w:val="003C3AF4"/>
    <w:rsid w:val="003C3CC3"/>
    <w:rsid w:val="003C3D32"/>
    <w:rsid w:val="003C3DE1"/>
    <w:rsid w:val="003C3E9E"/>
    <w:rsid w:val="003C462B"/>
    <w:rsid w:val="003C48FE"/>
    <w:rsid w:val="003C4B10"/>
    <w:rsid w:val="003C4B7C"/>
    <w:rsid w:val="003C4F9E"/>
    <w:rsid w:val="003C5AAB"/>
    <w:rsid w:val="003C5B19"/>
    <w:rsid w:val="003C5E5A"/>
    <w:rsid w:val="003C5F04"/>
    <w:rsid w:val="003C6596"/>
    <w:rsid w:val="003C65C1"/>
    <w:rsid w:val="003C6724"/>
    <w:rsid w:val="003C6758"/>
    <w:rsid w:val="003C6802"/>
    <w:rsid w:val="003C6B1C"/>
    <w:rsid w:val="003C6BAB"/>
    <w:rsid w:val="003C6E85"/>
    <w:rsid w:val="003C70E7"/>
    <w:rsid w:val="003C7227"/>
    <w:rsid w:val="003C74BB"/>
    <w:rsid w:val="003C74D2"/>
    <w:rsid w:val="003C7B54"/>
    <w:rsid w:val="003D04DC"/>
    <w:rsid w:val="003D09C2"/>
    <w:rsid w:val="003D09D0"/>
    <w:rsid w:val="003D0CBF"/>
    <w:rsid w:val="003D1047"/>
    <w:rsid w:val="003D1120"/>
    <w:rsid w:val="003D113B"/>
    <w:rsid w:val="003D11AD"/>
    <w:rsid w:val="003D12A0"/>
    <w:rsid w:val="003D13D3"/>
    <w:rsid w:val="003D1443"/>
    <w:rsid w:val="003D165F"/>
    <w:rsid w:val="003D1AEF"/>
    <w:rsid w:val="003D1B6A"/>
    <w:rsid w:val="003D1E8D"/>
    <w:rsid w:val="003D2242"/>
    <w:rsid w:val="003D25A2"/>
    <w:rsid w:val="003D2933"/>
    <w:rsid w:val="003D2F30"/>
    <w:rsid w:val="003D3016"/>
    <w:rsid w:val="003D3391"/>
    <w:rsid w:val="003D39A9"/>
    <w:rsid w:val="003D3A10"/>
    <w:rsid w:val="003D3CD0"/>
    <w:rsid w:val="003D3DFD"/>
    <w:rsid w:val="003D400C"/>
    <w:rsid w:val="003D4601"/>
    <w:rsid w:val="003D4DFE"/>
    <w:rsid w:val="003D4E45"/>
    <w:rsid w:val="003D502C"/>
    <w:rsid w:val="003D5091"/>
    <w:rsid w:val="003D519A"/>
    <w:rsid w:val="003D553D"/>
    <w:rsid w:val="003D5B35"/>
    <w:rsid w:val="003D5D85"/>
    <w:rsid w:val="003D64B9"/>
    <w:rsid w:val="003D66BB"/>
    <w:rsid w:val="003D691B"/>
    <w:rsid w:val="003D6964"/>
    <w:rsid w:val="003D6DDA"/>
    <w:rsid w:val="003D70B8"/>
    <w:rsid w:val="003D7302"/>
    <w:rsid w:val="003D745A"/>
    <w:rsid w:val="003D76BC"/>
    <w:rsid w:val="003D7870"/>
    <w:rsid w:val="003D7D1D"/>
    <w:rsid w:val="003D7DD5"/>
    <w:rsid w:val="003D7E2D"/>
    <w:rsid w:val="003E012A"/>
    <w:rsid w:val="003E036B"/>
    <w:rsid w:val="003E09A6"/>
    <w:rsid w:val="003E11C0"/>
    <w:rsid w:val="003E1235"/>
    <w:rsid w:val="003E13C8"/>
    <w:rsid w:val="003E171F"/>
    <w:rsid w:val="003E17F3"/>
    <w:rsid w:val="003E1908"/>
    <w:rsid w:val="003E19C9"/>
    <w:rsid w:val="003E1A67"/>
    <w:rsid w:val="003E1D9E"/>
    <w:rsid w:val="003E1FFF"/>
    <w:rsid w:val="003E2038"/>
    <w:rsid w:val="003E2098"/>
    <w:rsid w:val="003E211A"/>
    <w:rsid w:val="003E212F"/>
    <w:rsid w:val="003E21B7"/>
    <w:rsid w:val="003E23BF"/>
    <w:rsid w:val="003E24CD"/>
    <w:rsid w:val="003E27AE"/>
    <w:rsid w:val="003E2C37"/>
    <w:rsid w:val="003E3250"/>
    <w:rsid w:val="003E3430"/>
    <w:rsid w:val="003E3526"/>
    <w:rsid w:val="003E361A"/>
    <w:rsid w:val="003E37E0"/>
    <w:rsid w:val="003E3895"/>
    <w:rsid w:val="003E38EA"/>
    <w:rsid w:val="003E38EC"/>
    <w:rsid w:val="003E3BFB"/>
    <w:rsid w:val="003E3D78"/>
    <w:rsid w:val="003E400B"/>
    <w:rsid w:val="003E4608"/>
    <w:rsid w:val="003E4615"/>
    <w:rsid w:val="003E46C4"/>
    <w:rsid w:val="003E4CA6"/>
    <w:rsid w:val="003E5373"/>
    <w:rsid w:val="003E53A0"/>
    <w:rsid w:val="003E578B"/>
    <w:rsid w:val="003E5843"/>
    <w:rsid w:val="003E5ADF"/>
    <w:rsid w:val="003E5BA5"/>
    <w:rsid w:val="003E5E9D"/>
    <w:rsid w:val="003E6051"/>
    <w:rsid w:val="003E60D3"/>
    <w:rsid w:val="003E63C7"/>
    <w:rsid w:val="003E646A"/>
    <w:rsid w:val="003E6617"/>
    <w:rsid w:val="003E66DC"/>
    <w:rsid w:val="003E66FE"/>
    <w:rsid w:val="003E688E"/>
    <w:rsid w:val="003E69FC"/>
    <w:rsid w:val="003E6D0E"/>
    <w:rsid w:val="003E6D2A"/>
    <w:rsid w:val="003E6DDE"/>
    <w:rsid w:val="003E6F49"/>
    <w:rsid w:val="003E6FA9"/>
    <w:rsid w:val="003E7228"/>
    <w:rsid w:val="003E7706"/>
    <w:rsid w:val="003E79D1"/>
    <w:rsid w:val="003E7A81"/>
    <w:rsid w:val="003E7D51"/>
    <w:rsid w:val="003E7D5D"/>
    <w:rsid w:val="003E7E19"/>
    <w:rsid w:val="003E7EAB"/>
    <w:rsid w:val="003F001A"/>
    <w:rsid w:val="003F0067"/>
    <w:rsid w:val="003F01AF"/>
    <w:rsid w:val="003F0B38"/>
    <w:rsid w:val="003F0CFA"/>
    <w:rsid w:val="003F0EE0"/>
    <w:rsid w:val="003F1156"/>
    <w:rsid w:val="003F11EB"/>
    <w:rsid w:val="003F16B3"/>
    <w:rsid w:val="003F1B33"/>
    <w:rsid w:val="003F209A"/>
    <w:rsid w:val="003F2717"/>
    <w:rsid w:val="003F2ADC"/>
    <w:rsid w:val="003F2B3C"/>
    <w:rsid w:val="003F2C11"/>
    <w:rsid w:val="003F2C5C"/>
    <w:rsid w:val="003F2C7B"/>
    <w:rsid w:val="003F2C88"/>
    <w:rsid w:val="003F2D1A"/>
    <w:rsid w:val="003F2D1B"/>
    <w:rsid w:val="003F2DDD"/>
    <w:rsid w:val="003F2DE9"/>
    <w:rsid w:val="003F2E3F"/>
    <w:rsid w:val="003F2F58"/>
    <w:rsid w:val="003F3146"/>
    <w:rsid w:val="003F3F7C"/>
    <w:rsid w:val="003F40E5"/>
    <w:rsid w:val="003F4386"/>
    <w:rsid w:val="003F4397"/>
    <w:rsid w:val="003F4428"/>
    <w:rsid w:val="003F463D"/>
    <w:rsid w:val="003F4B3E"/>
    <w:rsid w:val="003F4F24"/>
    <w:rsid w:val="003F4F2D"/>
    <w:rsid w:val="003F51FD"/>
    <w:rsid w:val="003F58B5"/>
    <w:rsid w:val="003F5954"/>
    <w:rsid w:val="003F5E96"/>
    <w:rsid w:val="003F623E"/>
    <w:rsid w:val="003F64B6"/>
    <w:rsid w:val="003F6AA9"/>
    <w:rsid w:val="003F6AAA"/>
    <w:rsid w:val="003F6BE3"/>
    <w:rsid w:val="003F6D3B"/>
    <w:rsid w:val="003F6F7F"/>
    <w:rsid w:val="003F7069"/>
    <w:rsid w:val="003F70D1"/>
    <w:rsid w:val="003F7340"/>
    <w:rsid w:val="003F73A5"/>
    <w:rsid w:val="003F7F91"/>
    <w:rsid w:val="004003AF"/>
    <w:rsid w:val="0040042B"/>
    <w:rsid w:val="00400478"/>
    <w:rsid w:val="00400AAD"/>
    <w:rsid w:val="00400B1F"/>
    <w:rsid w:val="00400CC7"/>
    <w:rsid w:val="00400D2B"/>
    <w:rsid w:val="00400F20"/>
    <w:rsid w:val="00401153"/>
    <w:rsid w:val="00401256"/>
    <w:rsid w:val="004013FE"/>
    <w:rsid w:val="00401728"/>
    <w:rsid w:val="00401741"/>
    <w:rsid w:val="004017F3"/>
    <w:rsid w:val="00401822"/>
    <w:rsid w:val="00401860"/>
    <w:rsid w:val="00401B5E"/>
    <w:rsid w:val="00401BAC"/>
    <w:rsid w:val="00401C70"/>
    <w:rsid w:val="00401F96"/>
    <w:rsid w:val="00402291"/>
    <w:rsid w:val="004022A1"/>
    <w:rsid w:val="0040257C"/>
    <w:rsid w:val="00402E9F"/>
    <w:rsid w:val="004032AD"/>
    <w:rsid w:val="00403E12"/>
    <w:rsid w:val="00404158"/>
    <w:rsid w:val="004043ED"/>
    <w:rsid w:val="00404646"/>
    <w:rsid w:val="004046D2"/>
    <w:rsid w:val="00404CDD"/>
    <w:rsid w:val="00405163"/>
    <w:rsid w:val="004052E1"/>
    <w:rsid w:val="00405753"/>
    <w:rsid w:val="00405799"/>
    <w:rsid w:val="004057A9"/>
    <w:rsid w:val="00405802"/>
    <w:rsid w:val="00405CE6"/>
    <w:rsid w:val="00405E2A"/>
    <w:rsid w:val="00405F8D"/>
    <w:rsid w:val="0040603C"/>
    <w:rsid w:val="004063D7"/>
    <w:rsid w:val="0040671B"/>
    <w:rsid w:val="0040671C"/>
    <w:rsid w:val="00406916"/>
    <w:rsid w:val="00406BD9"/>
    <w:rsid w:val="00406C37"/>
    <w:rsid w:val="00406C64"/>
    <w:rsid w:val="00406DAC"/>
    <w:rsid w:val="00407286"/>
    <w:rsid w:val="00407404"/>
    <w:rsid w:val="00407459"/>
    <w:rsid w:val="0040784D"/>
    <w:rsid w:val="004079EC"/>
    <w:rsid w:val="00407DBA"/>
    <w:rsid w:val="00407FD6"/>
    <w:rsid w:val="00410071"/>
    <w:rsid w:val="0041010B"/>
    <w:rsid w:val="004101F2"/>
    <w:rsid w:val="004103C5"/>
    <w:rsid w:val="00410424"/>
    <w:rsid w:val="004105CF"/>
    <w:rsid w:val="004108EC"/>
    <w:rsid w:val="0041094E"/>
    <w:rsid w:val="00410AB2"/>
    <w:rsid w:val="00410ADE"/>
    <w:rsid w:val="00410C4F"/>
    <w:rsid w:val="00410D24"/>
    <w:rsid w:val="00410F52"/>
    <w:rsid w:val="00410FB3"/>
    <w:rsid w:val="00411349"/>
    <w:rsid w:val="00411594"/>
    <w:rsid w:val="004115F2"/>
    <w:rsid w:val="00411928"/>
    <w:rsid w:val="00411D81"/>
    <w:rsid w:val="00411D96"/>
    <w:rsid w:val="00411EB0"/>
    <w:rsid w:val="00411FC9"/>
    <w:rsid w:val="004120B1"/>
    <w:rsid w:val="00412165"/>
    <w:rsid w:val="00412340"/>
    <w:rsid w:val="00412465"/>
    <w:rsid w:val="004128C1"/>
    <w:rsid w:val="004129FB"/>
    <w:rsid w:val="00412A3B"/>
    <w:rsid w:val="00412FE9"/>
    <w:rsid w:val="0041303C"/>
    <w:rsid w:val="0041310D"/>
    <w:rsid w:val="00413246"/>
    <w:rsid w:val="0041335C"/>
    <w:rsid w:val="0041338C"/>
    <w:rsid w:val="004133E5"/>
    <w:rsid w:val="00413715"/>
    <w:rsid w:val="00413A34"/>
    <w:rsid w:val="00413A8B"/>
    <w:rsid w:val="00413AED"/>
    <w:rsid w:val="00413BD7"/>
    <w:rsid w:val="00413FCB"/>
    <w:rsid w:val="00414241"/>
    <w:rsid w:val="004142DE"/>
    <w:rsid w:val="0041492D"/>
    <w:rsid w:val="004149D8"/>
    <w:rsid w:val="00414A13"/>
    <w:rsid w:val="00414AD2"/>
    <w:rsid w:val="00414AFB"/>
    <w:rsid w:val="00415267"/>
    <w:rsid w:val="004152AA"/>
    <w:rsid w:val="00415362"/>
    <w:rsid w:val="0041536B"/>
    <w:rsid w:val="00415A9B"/>
    <w:rsid w:val="00415AEA"/>
    <w:rsid w:val="00415B5A"/>
    <w:rsid w:val="00415C45"/>
    <w:rsid w:val="00415F4A"/>
    <w:rsid w:val="00415FC1"/>
    <w:rsid w:val="0041619E"/>
    <w:rsid w:val="0041623F"/>
    <w:rsid w:val="004162EF"/>
    <w:rsid w:val="0041652D"/>
    <w:rsid w:val="00416777"/>
    <w:rsid w:val="0041680F"/>
    <w:rsid w:val="0041685B"/>
    <w:rsid w:val="004168E1"/>
    <w:rsid w:val="00416E02"/>
    <w:rsid w:val="00416E5D"/>
    <w:rsid w:val="00416FD8"/>
    <w:rsid w:val="004173ED"/>
    <w:rsid w:val="00417A40"/>
    <w:rsid w:val="00417DE4"/>
    <w:rsid w:val="00420153"/>
    <w:rsid w:val="0042060B"/>
    <w:rsid w:val="00420632"/>
    <w:rsid w:val="00420AA8"/>
    <w:rsid w:val="00420FE8"/>
    <w:rsid w:val="0042106E"/>
    <w:rsid w:val="0042116F"/>
    <w:rsid w:val="0042162D"/>
    <w:rsid w:val="0042167D"/>
    <w:rsid w:val="00421E32"/>
    <w:rsid w:val="00421E93"/>
    <w:rsid w:val="00422026"/>
    <w:rsid w:val="00422D0B"/>
    <w:rsid w:val="00422DB1"/>
    <w:rsid w:val="00422E85"/>
    <w:rsid w:val="00422EE6"/>
    <w:rsid w:val="00422F3C"/>
    <w:rsid w:val="00422FA1"/>
    <w:rsid w:val="00423191"/>
    <w:rsid w:val="004231DF"/>
    <w:rsid w:val="00423295"/>
    <w:rsid w:val="004232BB"/>
    <w:rsid w:val="00423529"/>
    <w:rsid w:val="00423A68"/>
    <w:rsid w:val="00423ABF"/>
    <w:rsid w:val="00423BC3"/>
    <w:rsid w:val="00423E4A"/>
    <w:rsid w:val="0042414B"/>
    <w:rsid w:val="0042445B"/>
    <w:rsid w:val="004244F2"/>
    <w:rsid w:val="00424599"/>
    <w:rsid w:val="00424845"/>
    <w:rsid w:val="00424EDC"/>
    <w:rsid w:val="00425258"/>
    <w:rsid w:val="004259ED"/>
    <w:rsid w:val="00425D76"/>
    <w:rsid w:val="00425DBA"/>
    <w:rsid w:val="0042623B"/>
    <w:rsid w:val="00426312"/>
    <w:rsid w:val="00426372"/>
    <w:rsid w:val="00426425"/>
    <w:rsid w:val="00426513"/>
    <w:rsid w:val="004268D8"/>
    <w:rsid w:val="004268FB"/>
    <w:rsid w:val="00426B95"/>
    <w:rsid w:val="00426DC0"/>
    <w:rsid w:val="00426FA0"/>
    <w:rsid w:val="00427224"/>
    <w:rsid w:val="004275E9"/>
    <w:rsid w:val="004276EE"/>
    <w:rsid w:val="00427FBF"/>
    <w:rsid w:val="004303C9"/>
    <w:rsid w:val="004306DD"/>
    <w:rsid w:val="004309B7"/>
    <w:rsid w:val="004309F4"/>
    <w:rsid w:val="00430C10"/>
    <w:rsid w:val="00430E40"/>
    <w:rsid w:val="00430E8C"/>
    <w:rsid w:val="00431554"/>
    <w:rsid w:val="004316BE"/>
    <w:rsid w:val="004316DF"/>
    <w:rsid w:val="004317FD"/>
    <w:rsid w:val="0043183A"/>
    <w:rsid w:val="00431888"/>
    <w:rsid w:val="00431925"/>
    <w:rsid w:val="00431A3C"/>
    <w:rsid w:val="00431D7F"/>
    <w:rsid w:val="00431F88"/>
    <w:rsid w:val="00431F8B"/>
    <w:rsid w:val="00431FF0"/>
    <w:rsid w:val="0043206D"/>
    <w:rsid w:val="00432165"/>
    <w:rsid w:val="004322C9"/>
    <w:rsid w:val="00432685"/>
    <w:rsid w:val="004326EF"/>
    <w:rsid w:val="0043271E"/>
    <w:rsid w:val="0043278B"/>
    <w:rsid w:val="004327A0"/>
    <w:rsid w:val="004327BF"/>
    <w:rsid w:val="00432A74"/>
    <w:rsid w:val="00432AEB"/>
    <w:rsid w:val="00432DB4"/>
    <w:rsid w:val="004330D2"/>
    <w:rsid w:val="0043334D"/>
    <w:rsid w:val="004333DD"/>
    <w:rsid w:val="0043342A"/>
    <w:rsid w:val="004336A2"/>
    <w:rsid w:val="00433A75"/>
    <w:rsid w:val="00433C3B"/>
    <w:rsid w:val="00433E8B"/>
    <w:rsid w:val="00433F49"/>
    <w:rsid w:val="00433FF9"/>
    <w:rsid w:val="004341A8"/>
    <w:rsid w:val="004343A1"/>
    <w:rsid w:val="004343DA"/>
    <w:rsid w:val="004344AB"/>
    <w:rsid w:val="004345ED"/>
    <w:rsid w:val="004346CF"/>
    <w:rsid w:val="0043473A"/>
    <w:rsid w:val="004349AA"/>
    <w:rsid w:val="00434B6E"/>
    <w:rsid w:val="00434C64"/>
    <w:rsid w:val="00434D93"/>
    <w:rsid w:val="00434DA6"/>
    <w:rsid w:val="004350A9"/>
    <w:rsid w:val="00435160"/>
    <w:rsid w:val="004359CF"/>
    <w:rsid w:val="00435C23"/>
    <w:rsid w:val="00435DA4"/>
    <w:rsid w:val="00436010"/>
    <w:rsid w:val="0043619E"/>
    <w:rsid w:val="004367C8"/>
    <w:rsid w:val="00436F92"/>
    <w:rsid w:val="004370BA"/>
    <w:rsid w:val="004370CF"/>
    <w:rsid w:val="0043715E"/>
    <w:rsid w:val="00437268"/>
    <w:rsid w:val="00437364"/>
    <w:rsid w:val="004374E7"/>
    <w:rsid w:val="0043750E"/>
    <w:rsid w:val="004377B7"/>
    <w:rsid w:val="00437AE8"/>
    <w:rsid w:val="00437AF9"/>
    <w:rsid w:val="00437BEB"/>
    <w:rsid w:val="00437C0B"/>
    <w:rsid w:val="00437C3F"/>
    <w:rsid w:val="00437DBB"/>
    <w:rsid w:val="00440169"/>
    <w:rsid w:val="0044019C"/>
    <w:rsid w:val="004402A8"/>
    <w:rsid w:val="0044030C"/>
    <w:rsid w:val="00440327"/>
    <w:rsid w:val="00440988"/>
    <w:rsid w:val="00440F0A"/>
    <w:rsid w:val="0044106F"/>
    <w:rsid w:val="00441240"/>
    <w:rsid w:val="0044126E"/>
    <w:rsid w:val="00441329"/>
    <w:rsid w:val="00441382"/>
    <w:rsid w:val="00441823"/>
    <w:rsid w:val="00441845"/>
    <w:rsid w:val="0044188C"/>
    <w:rsid w:val="0044191D"/>
    <w:rsid w:val="00441E9A"/>
    <w:rsid w:val="00441EF1"/>
    <w:rsid w:val="00442292"/>
    <w:rsid w:val="004422B2"/>
    <w:rsid w:val="0044285B"/>
    <w:rsid w:val="004429E2"/>
    <w:rsid w:val="00442A0E"/>
    <w:rsid w:val="00442D12"/>
    <w:rsid w:val="00443037"/>
    <w:rsid w:val="00443210"/>
    <w:rsid w:val="004434BD"/>
    <w:rsid w:val="00443B21"/>
    <w:rsid w:val="00443D04"/>
    <w:rsid w:val="00444049"/>
    <w:rsid w:val="004442E4"/>
    <w:rsid w:val="00444330"/>
    <w:rsid w:val="00444445"/>
    <w:rsid w:val="00444836"/>
    <w:rsid w:val="0044522D"/>
    <w:rsid w:val="00445349"/>
    <w:rsid w:val="0044567F"/>
    <w:rsid w:val="0044572B"/>
    <w:rsid w:val="004457BB"/>
    <w:rsid w:val="004462EE"/>
    <w:rsid w:val="004463DD"/>
    <w:rsid w:val="004465C7"/>
    <w:rsid w:val="0044672A"/>
    <w:rsid w:val="00446BE0"/>
    <w:rsid w:val="00446F0A"/>
    <w:rsid w:val="0044717B"/>
    <w:rsid w:val="004472B8"/>
    <w:rsid w:val="0044769B"/>
    <w:rsid w:val="004476A7"/>
    <w:rsid w:val="0044776D"/>
    <w:rsid w:val="0044796F"/>
    <w:rsid w:val="00447988"/>
    <w:rsid w:val="00447C4E"/>
    <w:rsid w:val="00447E8D"/>
    <w:rsid w:val="00447F0F"/>
    <w:rsid w:val="00447F46"/>
    <w:rsid w:val="004502E8"/>
    <w:rsid w:val="0045045C"/>
    <w:rsid w:val="004504E8"/>
    <w:rsid w:val="00450692"/>
    <w:rsid w:val="00450A12"/>
    <w:rsid w:val="00450D78"/>
    <w:rsid w:val="00450E52"/>
    <w:rsid w:val="00450E8D"/>
    <w:rsid w:val="0045154F"/>
    <w:rsid w:val="0045170B"/>
    <w:rsid w:val="00451B41"/>
    <w:rsid w:val="00451B5B"/>
    <w:rsid w:val="00451D18"/>
    <w:rsid w:val="0045212B"/>
    <w:rsid w:val="004524BB"/>
    <w:rsid w:val="004525D8"/>
    <w:rsid w:val="00452933"/>
    <w:rsid w:val="00452B41"/>
    <w:rsid w:val="00452C12"/>
    <w:rsid w:val="00453059"/>
    <w:rsid w:val="00453094"/>
    <w:rsid w:val="00453203"/>
    <w:rsid w:val="004532F1"/>
    <w:rsid w:val="004538D3"/>
    <w:rsid w:val="00453996"/>
    <w:rsid w:val="0045399E"/>
    <w:rsid w:val="00453BA7"/>
    <w:rsid w:val="004540E7"/>
    <w:rsid w:val="0045438F"/>
    <w:rsid w:val="00454546"/>
    <w:rsid w:val="0045458B"/>
    <w:rsid w:val="004547F8"/>
    <w:rsid w:val="004548A9"/>
    <w:rsid w:val="00454A2F"/>
    <w:rsid w:val="00454B81"/>
    <w:rsid w:val="00454E54"/>
    <w:rsid w:val="00454F28"/>
    <w:rsid w:val="0045506B"/>
    <w:rsid w:val="00455121"/>
    <w:rsid w:val="0045521E"/>
    <w:rsid w:val="004553B3"/>
    <w:rsid w:val="0045552B"/>
    <w:rsid w:val="00455679"/>
    <w:rsid w:val="00455B69"/>
    <w:rsid w:val="00455B8E"/>
    <w:rsid w:val="00455BFC"/>
    <w:rsid w:val="00455E80"/>
    <w:rsid w:val="00455ECD"/>
    <w:rsid w:val="00455F51"/>
    <w:rsid w:val="004560B5"/>
    <w:rsid w:val="00456310"/>
    <w:rsid w:val="00456421"/>
    <w:rsid w:val="0045652A"/>
    <w:rsid w:val="004565D6"/>
    <w:rsid w:val="00456700"/>
    <w:rsid w:val="00456761"/>
    <w:rsid w:val="004568D8"/>
    <w:rsid w:val="00456B36"/>
    <w:rsid w:val="00457082"/>
    <w:rsid w:val="004570DB"/>
    <w:rsid w:val="00457173"/>
    <w:rsid w:val="00457189"/>
    <w:rsid w:val="00457377"/>
    <w:rsid w:val="00457694"/>
    <w:rsid w:val="0045782B"/>
    <w:rsid w:val="00457A8F"/>
    <w:rsid w:val="00457C80"/>
    <w:rsid w:val="00457D9E"/>
    <w:rsid w:val="00460082"/>
    <w:rsid w:val="00460087"/>
    <w:rsid w:val="0046008E"/>
    <w:rsid w:val="00460350"/>
    <w:rsid w:val="0046039A"/>
    <w:rsid w:val="004603DF"/>
    <w:rsid w:val="00460461"/>
    <w:rsid w:val="004605CD"/>
    <w:rsid w:val="004605E3"/>
    <w:rsid w:val="00460698"/>
    <w:rsid w:val="004607EA"/>
    <w:rsid w:val="0046086B"/>
    <w:rsid w:val="00460B01"/>
    <w:rsid w:val="00460FF6"/>
    <w:rsid w:val="00461238"/>
    <w:rsid w:val="0046129D"/>
    <w:rsid w:val="0046131C"/>
    <w:rsid w:val="00461418"/>
    <w:rsid w:val="004618EA"/>
    <w:rsid w:val="00461B32"/>
    <w:rsid w:val="00461BCA"/>
    <w:rsid w:val="0046222C"/>
    <w:rsid w:val="004623EE"/>
    <w:rsid w:val="00462936"/>
    <w:rsid w:val="00462AB9"/>
    <w:rsid w:val="0046345F"/>
    <w:rsid w:val="004634CC"/>
    <w:rsid w:val="0046361C"/>
    <w:rsid w:val="004639AF"/>
    <w:rsid w:val="00463A9C"/>
    <w:rsid w:val="00463B82"/>
    <w:rsid w:val="00463D24"/>
    <w:rsid w:val="00463EE0"/>
    <w:rsid w:val="00463EE1"/>
    <w:rsid w:val="00463F2E"/>
    <w:rsid w:val="00464217"/>
    <w:rsid w:val="004644D4"/>
    <w:rsid w:val="004645AE"/>
    <w:rsid w:val="00464AE1"/>
    <w:rsid w:val="00464B3F"/>
    <w:rsid w:val="00464C00"/>
    <w:rsid w:val="00464C7D"/>
    <w:rsid w:val="00464C86"/>
    <w:rsid w:val="00464CDA"/>
    <w:rsid w:val="00464EE2"/>
    <w:rsid w:val="00465037"/>
    <w:rsid w:val="004653F6"/>
    <w:rsid w:val="00465653"/>
    <w:rsid w:val="004658BC"/>
    <w:rsid w:val="00466105"/>
    <w:rsid w:val="0046629C"/>
    <w:rsid w:val="004663B2"/>
    <w:rsid w:val="004664B4"/>
    <w:rsid w:val="0046653A"/>
    <w:rsid w:val="00466ACB"/>
    <w:rsid w:val="00466FBA"/>
    <w:rsid w:val="00467008"/>
    <w:rsid w:val="004670A4"/>
    <w:rsid w:val="00467185"/>
    <w:rsid w:val="00467360"/>
    <w:rsid w:val="0046751D"/>
    <w:rsid w:val="00467672"/>
    <w:rsid w:val="00467795"/>
    <w:rsid w:val="00467A2F"/>
    <w:rsid w:val="00467D6E"/>
    <w:rsid w:val="00467D98"/>
    <w:rsid w:val="00470066"/>
    <w:rsid w:val="00470182"/>
    <w:rsid w:val="0047043A"/>
    <w:rsid w:val="004704C6"/>
    <w:rsid w:val="00470547"/>
    <w:rsid w:val="004705F2"/>
    <w:rsid w:val="00470850"/>
    <w:rsid w:val="00470928"/>
    <w:rsid w:val="00470F4D"/>
    <w:rsid w:val="004710F1"/>
    <w:rsid w:val="0047121F"/>
    <w:rsid w:val="00471287"/>
    <w:rsid w:val="004714F2"/>
    <w:rsid w:val="0047168C"/>
    <w:rsid w:val="0047220F"/>
    <w:rsid w:val="004723A4"/>
    <w:rsid w:val="004725C3"/>
    <w:rsid w:val="00472723"/>
    <w:rsid w:val="0047291B"/>
    <w:rsid w:val="00472B5C"/>
    <w:rsid w:val="00472E02"/>
    <w:rsid w:val="00472E6B"/>
    <w:rsid w:val="00473341"/>
    <w:rsid w:val="00473569"/>
    <w:rsid w:val="004738B0"/>
    <w:rsid w:val="00473956"/>
    <w:rsid w:val="004749AF"/>
    <w:rsid w:val="00474C23"/>
    <w:rsid w:val="004754B1"/>
    <w:rsid w:val="0047552B"/>
    <w:rsid w:val="00475590"/>
    <w:rsid w:val="00475652"/>
    <w:rsid w:val="004756BC"/>
    <w:rsid w:val="00475990"/>
    <w:rsid w:val="00475B2E"/>
    <w:rsid w:val="00475B66"/>
    <w:rsid w:val="00475C67"/>
    <w:rsid w:val="004760CD"/>
    <w:rsid w:val="00476100"/>
    <w:rsid w:val="004762FE"/>
    <w:rsid w:val="0047634A"/>
    <w:rsid w:val="00476372"/>
    <w:rsid w:val="0047672C"/>
    <w:rsid w:val="00476796"/>
    <w:rsid w:val="00476CCE"/>
    <w:rsid w:val="00476DC3"/>
    <w:rsid w:val="0047703B"/>
    <w:rsid w:val="004772E2"/>
    <w:rsid w:val="00477356"/>
    <w:rsid w:val="004774EC"/>
    <w:rsid w:val="0047795E"/>
    <w:rsid w:val="00477AC7"/>
    <w:rsid w:val="00477C1D"/>
    <w:rsid w:val="00477C5F"/>
    <w:rsid w:val="00477F3C"/>
    <w:rsid w:val="004800BD"/>
    <w:rsid w:val="004800C0"/>
    <w:rsid w:val="004803B5"/>
    <w:rsid w:val="004803FE"/>
    <w:rsid w:val="004806C8"/>
    <w:rsid w:val="00480951"/>
    <w:rsid w:val="00480F04"/>
    <w:rsid w:val="00480F29"/>
    <w:rsid w:val="004811DB"/>
    <w:rsid w:val="00481211"/>
    <w:rsid w:val="004813F3"/>
    <w:rsid w:val="0048170E"/>
    <w:rsid w:val="00481728"/>
    <w:rsid w:val="00482120"/>
    <w:rsid w:val="00482501"/>
    <w:rsid w:val="00482609"/>
    <w:rsid w:val="00482CD5"/>
    <w:rsid w:val="004830B3"/>
    <w:rsid w:val="0048326B"/>
    <w:rsid w:val="004832F4"/>
    <w:rsid w:val="00483430"/>
    <w:rsid w:val="00483663"/>
    <w:rsid w:val="00483B8A"/>
    <w:rsid w:val="00483DD7"/>
    <w:rsid w:val="00483EE1"/>
    <w:rsid w:val="004840EE"/>
    <w:rsid w:val="00484139"/>
    <w:rsid w:val="00484286"/>
    <w:rsid w:val="004848C8"/>
    <w:rsid w:val="00484A66"/>
    <w:rsid w:val="0048525E"/>
    <w:rsid w:val="00485B1B"/>
    <w:rsid w:val="00485F96"/>
    <w:rsid w:val="00485FBD"/>
    <w:rsid w:val="00486115"/>
    <w:rsid w:val="00486184"/>
    <w:rsid w:val="0048620B"/>
    <w:rsid w:val="004864E4"/>
    <w:rsid w:val="0048659A"/>
    <w:rsid w:val="004869C0"/>
    <w:rsid w:val="00486A2F"/>
    <w:rsid w:val="00486D31"/>
    <w:rsid w:val="00486D96"/>
    <w:rsid w:val="00486DB2"/>
    <w:rsid w:val="00486E46"/>
    <w:rsid w:val="00486EA1"/>
    <w:rsid w:val="00486FA1"/>
    <w:rsid w:val="004874D3"/>
    <w:rsid w:val="0048750E"/>
    <w:rsid w:val="00487658"/>
    <w:rsid w:val="0048799C"/>
    <w:rsid w:val="00487D37"/>
    <w:rsid w:val="00487F3E"/>
    <w:rsid w:val="00487F69"/>
    <w:rsid w:val="00490045"/>
    <w:rsid w:val="0049015D"/>
    <w:rsid w:val="0049017D"/>
    <w:rsid w:val="004902D8"/>
    <w:rsid w:val="004903A7"/>
    <w:rsid w:val="00490B0A"/>
    <w:rsid w:val="00490E88"/>
    <w:rsid w:val="00490F11"/>
    <w:rsid w:val="004913AA"/>
    <w:rsid w:val="00491450"/>
    <w:rsid w:val="00491688"/>
    <w:rsid w:val="00491A36"/>
    <w:rsid w:val="00491AEA"/>
    <w:rsid w:val="00491B68"/>
    <w:rsid w:val="00491F4B"/>
    <w:rsid w:val="004920D1"/>
    <w:rsid w:val="004920EF"/>
    <w:rsid w:val="004921BF"/>
    <w:rsid w:val="004921D2"/>
    <w:rsid w:val="004927A7"/>
    <w:rsid w:val="00492899"/>
    <w:rsid w:val="00492920"/>
    <w:rsid w:val="004929DE"/>
    <w:rsid w:val="00492B94"/>
    <w:rsid w:val="00492C47"/>
    <w:rsid w:val="00492C75"/>
    <w:rsid w:val="00492ECA"/>
    <w:rsid w:val="0049313E"/>
    <w:rsid w:val="0049380C"/>
    <w:rsid w:val="004939F8"/>
    <w:rsid w:val="00493A68"/>
    <w:rsid w:val="004945D2"/>
    <w:rsid w:val="004945F8"/>
    <w:rsid w:val="00494B6B"/>
    <w:rsid w:val="00494C4B"/>
    <w:rsid w:val="00494DCD"/>
    <w:rsid w:val="00494EB6"/>
    <w:rsid w:val="00494F42"/>
    <w:rsid w:val="00494FB0"/>
    <w:rsid w:val="00495446"/>
    <w:rsid w:val="00495859"/>
    <w:rsid w:val="00495A78"/>
    <w:rsid w:val="00495B68"/>
    <w:rsid w:val="00495C64"/>
    <w:rsid w:val="00495F24"/>
    <w:rsid w:val="00495F3C"/>
    <w:rsid w:val="00496598"/>
    <w:rsid w:val="00496629"/>
    <w:rsid w:val="004967B5"/>
    <w:rsid w:val="00496994"/>
    <w:rsid w:val="00496A19"/>
    <w:rsid w:val="00496A20"/>
    <w:rsid w:val="00496A91"/>
    <w:rsid w:val="00496C7D"/>
    <w:rsid w:val="00496CBC"/>
    <w:rsid w:val="00496D20"/>
    <w:rsid w:val="00496FB0"/>
    <w:rsid w:val="004976AF"/>
    <w:rsid w:val="00497B91"/>
    <w:rsid w:val="00497DD1"/>
    <w:rsid w:val="004A02E2"/>
    <w:rsid w:val="004A054E"/>
    <w:rsid w:val="004A0712"/>
    <w:rsid w:val="004A0A23"/>
    <w:rsid w:val="004A0D71"/>
    <w:rsid w:val="004A0EB4"/>
    <w:rsid w:val="004A0F00"/>
    <w:rsid w:val="004A13EE"/>
    <w:rsid w:val="004A148B"/>
    <w:rsid w:val="004A14DD"/>
    <w:rsid w:val="004A159B"/>
    <w:rsid w:val="004A16DC"/>
    <w:rsid w:val="004A1C6D"/>
    <w:rsid w:val="004A1E8E"/>
    <w:rsid w:val="004A1F2C"/>
    <w:rsid w:val="004A2321"/>
    <w:rsid w:val="004A25D8"/>
    <w:rsid w:val="004A2DF7"/>
    <w:rsid w:val="004A32C7"/>
    <w:rsid w:val="004A3607"/>
    <w:rsid w:val="004A3694"/>
    <w:rsid w:val="004A3890"/>
    <w:rsid w:val="004A3912"/>
    <w:rsid w:val="004A40D6"/>
    <w:rsid w:val="004A4156"/>
    <w:rsid w:val="004A41B0"/>
    <w:rsid w:val="004A421F"/>
    <w:rsid w:val="004A46CB"/>
    <w:rsid w:val="004A4A5A"/>
    <w:rsid w:val="004A4B9D"/>
    <w:rsid w:val="004A4DCE"/>
    <w:rsid w:val="004A4E9A"/>
    <w:rsid w:val="004A51E5"/>
    <w:rsid w:val="004A5205"/>
    <w:rsid w:val="004A5465"/>
    <w:rsid w:val="004A55F8"/>
    <w:rsid w:val="004A58AD"/>
    <w:rsid w:val="004A5C5C"/>
    <w:rsid w:val="004A6081"/>
    <w:rsid w:val="004A60DE"/>
    <w:rsid w:val="004A64CF"/>
    <w:rsid w:val="004A68F8"/>
    <w:rsid w:val="004A6CFE"/>
    <w:rsid w:val="004A72DB"/>
    <w:rsid w:val="004A732B"/>
    <w:rsid w:val="004A7DF1"/>
    <w:rsid w:val="004A7E78"/>
    <w:rsid w:val="004A7F3F"/>
    <w:rsid w:val="004B046B"/>
    <w:rsid w:val="004B060F"/>
    <w:rsid w:val="004B0633"/>
    <w:rsid w:val="004B06B9"/>
    <w:rsid w:val="004B083F"/>
    <w:rsid w:val="004B0BA7"/>
    <w:rsid w:val="004B0CC8"/>
    <w:rsid w:val="004B0CDD"/>
    <w:rsid w:val="004B1030"/>
    <w:rsid w:val="004B14EF"/>
    <w:rsid w:val="004B14F2"/>
    <w:rsid w:val="004B15C5"/>
    <w:rsid w:val="004B1750"/>
    <w:rsid w:val="004B1800"/>
    <w:rsid w:val="004B1E4D"/>
    <w:rsid w:val="004B1F2A"/>
    <w:rsid w:val="004B2004"/>
    <w:rsid w:val="004B21FA"/>
    <w:rsid w:val="004B23C3"/>
    <w:rsid w:val="004B24B2"/>
    <w:rsid w:val="004B2599"/>
    <w:rsid w:val="004B269E"/>
    <w:rsid w:val="004B2B03"/>
    <w:rsid w:val="004B2D15"/>
    <w:rsid w:val="004B2D22"/>
    <w:rsid w:val="004B2DC9"/>
    <w:rsid w:val="004B2F04"/>
    <w:rsid w:val="004B33A8"/>
    <w:rsid w:val="004B35EB"/>
    <w:rsid w:val="004B3D09"/>
    <w:rsid w:val="004B40AD"/>
    <w:rsid w:val="004B41FE"/>
    <w:rsid w:val="004B430C"/>
    <w:rsid w:val="004B43D8"/>
    <w:rsid w:val="004B44F0"/>
    <w:rsid w:val="004B46D7"/>
    <w:rsid w:val="004B47F0"/>
    <w:rsid w:val="004B48A5"/>
    <w:rsid w:val="004B48DC"/>
    <w:rsid w:val="004B4A10"/>
    <w:rsid w:val="004B4B04"/>
    <w:rsid w:val="004B4BEA"/>
    <w:rsid w:val="004B4EEF"/>
    <w:rsid w:val="004B5017"/>
    <w:rsid w:val="004B534E"/>
    <w:rsid w:val="004B5446"/>
    <w:rsid w:val="004B55F5"/>
    <w:rsid w:val="004B5682"/>
    <w:rsid w:val="004B59B6"/>
    <w:rsid w:val="004B59C2"/>
    <w:rsid w:val="004B5B98"/>
    <w:rsid w:val="004B5BD5"/>
    <w:rsid w:val="004B60D2"/>
    <w:rsid w:val="004B6122"/>
    <w:rsid w:val="004B62F2"/>
    <w:rsid w:val="004B66A9"/>
    <w:rsid w:val="004B683A"/>
    <w:rsid w:val="004B6A6F"/>
    <w:rsid w:val="004B70BA"/>
    <w:rsid w:val="004B7246"/>
    <w:rsid w:val="004B7321"/>
    <w:rsid w:val="004B7502"/>
    <w:rsid w:val="004B7745"/>
    <w:rsid w:val="004B7B20"/>
    <w:rsid w:val="004B7C10"/>
    <w:rsid w:val="004B7CF1"/>
    <w:rsid w:val="004C0052"/>
    <w:rsid w:val="004C00D1"/>
    <w:rsid w:val="004C0381"/>
    <w:rsid w:val="004C0534"/>
    <w:rsid w:val="004C0560"/>
    <w:rsid w:val="004C08B1"/>
    <w:rsid w:val="004C0E4F"/>
    <w:rsid w:val="004C17F3"/>
    <w:rsid w:val="004C1BE8"/>
    <w:rsid w:val="004C23FD"/>
    <w:rsid w:val="004C2488"/>
    <w:rsid w:val="004C25CB"/>
    <w:rsid w:val="004C2774"/>
    <w:rsid w:val="004C2B90"/>
    <w:rsid w:val="004C2DFA"/>
    <w:rsid w:val="004C2E11"/>
    <w:rsid w:val="004C2E42"/>
    <w:rsid w:val="004C30BB"/>
    <w:rsid w:val="004C30C4"/>
    <w:rsid w:val="004C356B"/>
    <w:rsid w:val="004C3731"/>
    <w:rsid w:val="004C38E0"/>
    <w:rsid w:val="004C3AAD"/>
    <w:rsid w:val="004C3B2F"/>
    <w:rsid w:val="004C3C65"/>
    <w:rsid w:val="004C3C7F"/>
    <w:rsid w:val="004C3D8B"/>
    <w:rsid w:val="004C405D"/>
    <w:rsid w:val="004C41A2"/>
    <w:rsid w:val="004C4345"/>
    <w:rsid w:val="004C4740"/>
    <w:rsid w:val="004C4824"/>
    <w:rsid w:val="004C496D"/>
    <w:rsid w:val="004C4C24"/>
    <w:rsid w:val="004C5196"/>
    <w:rsid w:val="004C5669"/>
    <w:rsid w:val="004C58D5"/>
    <w:rsid w:val="004C5912"/>
    <w:rsid w:val="004C5A78"/>
    <w:rsid w:val="004C5E73"/>
    <w:rsid w:val="004C5F0D"/>
    <w:rsid w:val="004C60B0"/>
    <w:rsid w:val="004C6108"/>
    <w:rsid w:val="004C62D5"/>
    <w:rsid w:val="004C6655"/>
    <w:rsid w:val="004C67FC"/>
    <w:rsid w:val="004C6C8F"/>
    <w:rsid w:val="004C6DEF"/>
    <w:rsid w:val="004C71D7"/>
    <w:rsid w:val="004C725E"/>
    <w:rsid w:val="004C7456"/>
    <w:rsid w:val="004C754B"/>
    <w:rsid w:val="004C7601"/>
    <w:rsid w:val="004C79EC"/>
    <w:rsid w:val="004C7AB0"/>
    <w:rsid w:val="004C7ACB"/>
    <w:rsid w:val="004C7B8D"/>
    <w:rsid w:val="004C7F05"/>
    <w:rsid w:val="004D0470"/>
    <w:rsid w:val="004D08D7"/>
    <w:rsid w:val="004D0DF9"/>
    <w:rsid w:val="004D10F5"/>
    <w:rsid w:val="004D1530"/>
    <w:rsid w:val="004D1557"/>
    <w:rsid w:val="004D1623"/>
    <w:rsid w:val="004D16E8"/>
    <w:rsid w:val="004D178B"/>
    <w:rsid w:val="004D1A26"/>
    <w:rsid w:val="004D1FAB"/>
    <w:rsid w:val="004D20AE"/>
    <w:rsid w:val="004D217F"/>
    <w:rsid w:val="004D2188"/>
    <w:rsid w:val="004D25EF"/>
    <w:rsid w:val="004D28C7"/>
    <w:rsid w:val="004D2EA5"/>
    <w:rsid w:val="004D3165"/>
    <w:rsid w:val="004D31FF"/>
    <w:rsid w:val="004D341B"/>
    <w:rsid w:val="004D34F3"/>
    <w:rsid w:val="004D38F4"/>
    <w:rsid w:val="004D3B3A"/>
    <w:rsid w:val="004D3C4F"/>
    <w:rsid w:val="004D3E5C"/>
    <w:rsid w:val="004D40A2"/>
    <w:rsid w:val="004D41F4"/>
    <w:rsid w:val="004D424D"/>
    <w:rsid w:val="004D428D"/>
    <w:rsid w:val="004D42C5"/>
    <w:rsid w:val="004D42FF"/>
    <w:rsid w:val="004D4409"/>
    <w:rsid w:val="004D44A6"/>
    <w:rsid w:val="004D44E3"/>
    <w:rsid w:val="004D48C8"/>
    <w:rsid w:val="004D49D0"/>
    <w:rsid w:val="004D4FFB"/>
    <w:rsid w:val="004D5013"/>
    <w:rsid w:val="004D505B"/>
    <w:rsid w:val="004D5393"/>
    <w:rsid w:val="004D541D"/>
    <w:rsid w:val="004D542F"/>
    <w:rsid w:val="004D5610"/>
    <w:rsid w:val="004D56D5"/>
    <w:rsid w:val="004D5987"/>
    <w:rsid w:val="004D5D2B"/>
    <w:rsid w:val="004D5DC2"/>
    <w:rsid w:val="004D5EB8"/>
    <w:rsid w:val="004D5F48"/>
    <w:rsid w:val="004D5F87"/>
    <w:rsid w:val="004D6018"/>
    <w:rsid w:val="004D60BC"/>
    <w:rsid w:val="004D6192"/>
    <w:rsid w:val="004D629A"/>
    <w:rsid w:val="004D66A6"/>
    <w:rsid w:val="004D6AC6"/>
    <w:rsid w:val="004D6C8D"/>
    <w:rsid w:val="004D6F09"/>
    <w:rsid w:val="004D721F"/>
    <w:rsid w:val="004D7967"/>
    <w:rsid w:val="004D7B4D"/>
    <w:rsid w:val="004D7B8B"/>
    <w:rsid w:val="004D7EA9"/>
    <w:rsid w:val="004D7FB7"/>
    <w:rsid w:val="004E01C0"/>
    <w:rsid w:val="004E01D2"/>
    <w:rsid w:val="004E0281"/>
    <w:rsid w:val="004E0303"/>
    <w:rsid w:val="004E07DE"/>
    <w:rsid w:val="004E0E7A"/>
    <w:rsid w:val="004E106F"/>
    <w:rsid w:val="004E13D2"/>
    <w:rsid w:val="004E141B"/>
    <w:rsid w:val="004E1530"/>
    <w:rsid w:val="004E167F"/>
    <w:rsid w:val="004E17CD"/>
    <w:rsid w:val="004E1B3F"/>
    <w:rsid w:val="004E1B57"/>
    <w:rsid w:val="004E1B79"/>
    <w:rsid w:val="004E2066"/>
    <w:rsid w:val="004E207A"/>
    <w:rsid w:val="004E20D6"/>
    <w:rsid w:val="004E229B"/>
    <w:rsid w:val="004E22DF"/>
    <w:rsid w:val="004E23C3"/>
    <w:rsid w:val="004E26D4"/>
    <w:rsid w:val="004E2EA5"/>
    <w:rsid w:val="004E3013"/>
    <w:rsid w:val="004E315A"/>
    <w:rsid w:val="004E32B8"/>
    <w:rsid w:val="004E3313"/>
    <w:rsid w:val="004E37A7"/>
    <w:rsid w:val="004E3923"/>
    <w:rsid w:val="004E3AED"/>
    <w:rsid w:val="004E4289"/>
    <w:rsid w:val="004E4323"/>
    <w:rsid w:val="004E43CB"/>
    <w:rsid w:val="004E4528"/>
    <w:rsid w:val="004E4998"/>
    <w:rsid w:val="004E49F3"/>
    <w:rsid w:val="004E4A05"/>
    <w:rsid w:val="004E4A1A"/>
    <w:rsid w:val="004E4DFE"/>
    <w:rsid w:val="004E4E12"/>
    <w:rsid w:val="004E4EB2"/>
    <w:rsid w:val="004E4EF5"/>
    <w:rsid w:val="004E502A"/>
    <w:rsid w:val="004E5894"/>
    <w:rsid w:val="004E5917"/>
    <w:rsid w:val="004E5D71"/>
    <w:rsid w:val="004E5D9A"/>
    <w:rsid w:val="004E5E7C"/>
    <w:rsid w:val="004E5E7F"/>
    <w:rsid w:val="004E5F00"/>
    <w:rsid w:val="004E604A"/>
    <w:rsid w:val="004E61DD"/>
    <w:rsid w:val="004E63AC"/>
    <w:rsid w:val="004E69FD"/>
    <w:rsid w:val="004E6A6C"/>
    <w:rsid w:val="004E6AE1"/>
    <w:rsid w:val="004E6B14"/>
    <w:rsid w:val="004E6E10"/>
    <w:rsid w:val="004E6EE9"/>
    <w:rsid w:val="004E701F"/>
    <w:rsid w:val="004E7046"/>
    <w:rsid w:val="004E70B8"/>
    <w:rsid w:val="004E7140"/>
    <w:rsid w:val="004E7819"/>
    <w:rsid w:val="004E78BD"/>
    <w:rsid w:val="004E7987"/>
    <w:rsid w:val="004E7B94"/>
    <w:rsid w:val="004E7E15"/>
    <w:rsid w:val="004E7F62"/>
    <w:rsid w:val="004F0273"/>
    <w:rsid w:val="004F04CF"/>
    <w:rsid w:val="004F04DB"/>
    <w:rsid w:val="004F05C1"/>
    <w:rsid w:val="004F05E9"/>
    <w:rsid w:val="004F067F"/>
    <w:rsid w:val="004F087D"/>
    <w:rsid w:val="004F0A3C"/>
    <w:rsid w:val="004F0C28"/>
    <w:rsid w:val="004F10D1"/>
    <w:rsid w:val="004F15F4"/>
    <w:rsid w:val="004F1669"/>
    <w:rsid w:val="004F1A77"/>
    <w:rsid w:val="004F1C88"/>
    <w:rsid w:val="004F1E0D"/>
    <w:rsid w:val="004F1E5F"/>
    <w:rsid w:val="004F2049"/>
    <w:rsid w:val="004F2140"/>
    <w:rsid w:val="004F229A"/>
    <w:rsid w:val="004F2586"/>
    <w:rsid w:val="004F28DB"/>
    <w:rsid w:val="004F2C8C"/>
    <w:rsid w:val="004F3283"/>
    <w:rsid w:val="004F34F0"/>
    <w:rsid w:val="004F35CC"/>
    <w:rsid w:val="004F3E3B"/>
    <w:rsid w:val="004F3F33"/>
    <w:rsid w:val="004F41C2"/>
    <w:rsid w:val="004F43A1"/>
    <w:rsid w:val="004F45F4"/>
    <w:rsid w:val="004F47AB"/>
    <w:rsid w:val="004F4E52"/>
    <w:rsid w:val="004F4EB7"/>
    <w:rsid w:val="004F4FA7"/>
    <w:rsid w:val="004F5208"/>
    <w:rsid w:val="004F5358"/>
    <w:rsid w:val="004F5642"/>
    <w:rsid w:val="004F57ED"/>
    <w:rsid w:val="004F580D"/>
    <w:rsid w:val="004F5924"/>
    <w:rsid w:val="004F5949"/>
    <w:rsid w:val="004F5CE9"/>
    <w:rsid w:val="004F5D63"/>
    <w:rsid w:val="004F5F59"/>
    <w:rsid w:val="004F5FEE"/>
    <w:rsid w:val="004F64D2"/>
    <w:rsid w:val="004F6536"/>
    <w:rsid w:val="004F66A1"/>
    <w:rsid w:val="004F6706"/>
    <w:rsid w:val="004F6720"/>
    <w:rsid w:val="004F6A42"/>
    <w:rsid w:val="004F6C7D"/>
    <w:rsid w:val="004F6CFF"/>
    <w:rsid w:val="004F6E28"/>
    <w:rsid w:val="004F70B7"/>
    <w:rsid w:val="004F71D5"/>
    <w:rsid w:val="004F7462"/>
    <w:rsid w:val="004F760F"/>
    <w:rsid w:val="004F76C2"/>
    <w:rsid w:val="004F78FA"/>
    <w:rsid w:val="004F7A1D"/>
    <w:rsid w:val="004F7B60"/>
    <w:rsid w:val="004F7FEB"/>
    <w:rsid w:val="005000D1"/>
    <w:rsid w:val="0050095E"/>
    <w:rsid w:val="00500AE3"/>
    <w:rsid w:val="00500B82"/>
    <w:rsid w:val="00500CEA"/>
    <w:rsid w:val="00500ECE"/>
    <w:rsid w:val="00500EE6"/>
    <w:rsid w:val="00500FE7"/>
    <w:rsid w:val="005011F3"/>
    <w:rsid w:val="00501278"/>
    <w:rsid w:val="005016D4"/>
    <w:rsid w:val="00501752"/>
    <w:rsid w:val="005017BC"/>
    <w:rsid w:val="005017C6"/>
    <w:rsid w:val="00501888"/>
    <w:rsid w:val="00501A8B"/>
    <w:rsid w:val="00501BAB"/>
    <w:rsid w:val="00501E59"/>
    <w:rsid w:val="00502418"/>
    <w:rsid w:val="005027FD"/>
    <w:rsid w:val="0050288C"/>
    <w:rsid w:val="00502946"/>
    <w:rsid w:val="00502A02"/>
    <w:rsid w:val="00502C5D"/>
    <w:rsid w:val="005030BF"/>
    <w:rsid w:val="005030EF"/>
    <w:rsid w:val="005032E3"/>
    <w:rsid w:val="0050333A"/>
    <w:rsid w:val="0050339D"/>
    <w:rsid w:val="00503609"/>
    <w:rsid w:val="005038AE"/>
    <w:rsid w:val="0050393A"/>
    <w:rsid w:val="00503A80"/>
    <w:rsid w:val="00503AF9"/>
    <w:rsid w:val="00503B79"/>
    <w:rsid w:val="00503C54"/>
    <w:rsid w:val="00503CD4"/>
    <w:rsid w:val="00503E3D"/>
    <w:rsid w:val="00503EA6"/>
    <w:rsid w:val="0050405E"/>
    <w:rsid w:val="005044A6"/>
    <w:rsid w:val="00504793"/>
    <w:rsid w:val="005047C5"/>
    <w:rsid w:val="00504A36"/>
    <w:rsid w:val="00504B5F"/>
    <w:rsid w:val="00504E53"/>
    <w:rsid w:val="005052B4"/>
    <w:rsid w:val="005056E8"/>
    <w:rsid w:val="005059BE"/>
    <w:rsid w:val="00505BEF"/>
    <w:rsid w:val="00505ECF"/>
    <w:rsid w:val="00505FF6"/>
    <w:rsid w:val="005061AB"/>
    <w:rsid w:val="00506204"/>
    <w:rsid w:val="00506551"/>
    <w:rsid w:val="00506577"/>
    <w:rsid w:val="005065D9"/>
    <w:rsid w:val="005067CB"/>
    <w:rsid w:val="005068F7"/>
    <w:rsid w:val="00506B3B"/>
    <w:rsid w:val="00506CE3"/>
    <w:rsid w:val="00507349"/>
    <w:rsid w:val="0050734A"/>
    <w:rsid w:val="00507844"/>
    <w:rsid w:val="0050790C"/>
    <w:rsid w:val="0050792A"/>
    <w:rsid w:val="005079FC"/>
    <w:rsid w:val="00507A46"/>
    <w:rsid w:val="0051010E"/>
    <w:rsid w:val="00510191"/>
    <w:rsid w:val="00510B2E"/>
    <w:rsid w:val="00510B3B"/>
    <w:rsid w:val="00510B65"/>
    <w:rsid w:val="00510BA9"/>
    <w:rsid w:val="00510DAD"/>
    <w:rsid w:val="00511380"/>
    <w:rsid w:val="0051144F"/>
    <w:rsid w:val="00511585"/>
    <w:rsid w:val="00511704"/>
    <w:rsid w:val="00511E4E"/>
    <w:rsid w:val="00511E61"/>
    <w:rsid w:val="00511F41"/>
    <w:rsid w:val="00512107"/>
    <w:rsid w:val="0051254A"/>
    <w:rsid w:val="005125D8"/>
    <w:rsid w:val="0051269D"/>
    <w:rsid w:val="00512792"/>
    <w:rsid w:val="00512A8A"/>
    <w:rsid w:val="00512C07"/>
    <w:rsid w:val="00512DBE"/>
    <w:rsid w:val="00512F6F"/>
    <w:rsid w:val="00512FAD"/>
    <w:rsid w:val="00513141"/>
    <w:rsid w:val="00513148"/>
    <w:rsid w:val="00513B10"/>
    <w:rsid w:val="00513D7C"/>
    <w:rsid w:val="00513F14"/>
    <w:rsid w:val="00513F59"/>
    <w:rsid w:val="005141AC"/>
    <w:rsid w:val="005143D2"/>
    <w:rsid w:val="00514468"/>
    <w:rsid w:val="00514CB8"/>
    <w:rsid w:val="00515049"/>
    <w:rsid w:val="005154D3"/>
    <w:rsid w:val="005154D9"/>
    <w:rsid w:val="00515796"/>
    <w:rsid w:val="00515AF0"/>
    <w:rsid w:val="00515CE2"/>
    <w:rsid w:val="005160D8"/>
    <w:rsid w:val="005162C2"/>
    <w:rsid w:val="005165B3"/>
    <w:rsid w:val="005165E4"/>
    <w:rsid w:val="0051666E"/>
    <w:rsid w:val="0051673D"/>
    <w:rsid w:val="00516FEB"/>
    <w:rsid w:val="00517196"/>
    <w:rsid w:val="005172DB"/>
    <w:rsid w:val="00517458"/>
    <w:rsid w:val="005177E0"/>
    <w:rsid w:val="00517909"/>
    <w:rsid w:val="0051797B"/>
    <w:rsid w:val="00517E00"/>
    <w:rsid w:val="00517E40"/>
    <w:rsid w:val="00520022"/>
    <w:rsid w:val="00520028"/>
    <w:rsid w:val="005201A9"/>
    <w:rsid w:val="00520241"/>
    <w:rsid w:val="00520AE6"/>
    <w:rsid w:val="00520B0C"/>
    <w:rsid w:val="00521241"/>
    <w:rsid w:val="00521301"/>
    <w:rsid w:val="005216E1"/>
    <w:rsid w:val="00521824"/>
    <w:rsid w:val="0052190C"/>
    <w:rsid w:val="00521A24"/>
    <w:rsid w:val="00521B2A"/>
    <w:rsid w:val="00521B4E"/>
    <w:rsid w:val="00521DEF"/>
    <w:rsid w:val="00521E57"/>
    <w:rsid w:val="00521F35"/>
    <w:rsid w:val="005224BF"/>
    <w:rsid w:val="00522B2E"/>
    <w:rsid w:val="00522EE1"/>
    <w:rsid w:val="00523145"/>
    <w:rsid w:val="00523319"/>
    <w:rsid w:val="0052331D"/>
    <w:rsid w:val="00523395"/>
    <w:rsid w:val="00523466"/>
    <w:rsid w:val="00523DC6"/>
    <w:rsid w:val="00524060"/>
    <w:rsid w:val="0052432B"/>
    <w:rsid w:val="005243DB"/>
    <w:rsid w:val="005248A8"/>
    <w:rsid w:val="00525010"/>
    <w:rsid w:val="00525290"/>
    <w:rsid w:val="00525739"/>
    <w:rsid w:val="00525D94"/>
    <w:rsid w:val="00525D9A"/>
    <w:rsid w:val="00525F08"/>
    <w:rsid w:val="0052612A"/>
    <w:rsid w:val="0052612D"/>
    <w:rsid w:val="00526950"/>
    <w:rsid w:val="00526AD9"/>
    <w:rsid w:val="00526B38"/>
    <w:rsid w:val="00526E2A"/>
    <w:rsid w:val="00526F7C"/>
    <w:rsid w:val="005270B2"/>
    <w:rsid w:val="00527641"/>
    <w:rsid w:val="00527C64"/>
    <w:rsid w:val="00527DBD"/>
    <w:rsid w:val="005300B1"/>
    <w:rsid w:val="005303AB"/>
    <w:rsid w:val="005304C5"/>
    <w:rsid w:val="00530582"/>
    <w:rsid w:val="0053086F"/>
    <w:rsid w:val="00530A89"/>
    <w:rsid w:val="00530BB2"/>
    <w:rsid w:val="00530C6A"/>
    <w:rsid w:val="00530EA2"/>
    <w:rsid w:val="00530ECA"/>
    <w:rsid w:val="0053101D"/>
    <w:rsid w:val="00531302"/>
    <w:rsid w:val="00531538"/>
    <w:rsid w:val="0053188D"/>
    <w:rsid w:val="00531892"/>
    <w:rsid w:val="00531929"/>
    <w:rsid w:val="00531956"/>
    <w:rsid w:val="00531ACC"/>
    <w:rsid w:val="00531BB5"/>
    <w:rsid w:val="00531EAD"/>
    <w:rsid w:val="005321D6"/>
    <w:rsid w:val="00532319"/>
    <w:rsid w:val="0053258B"/>
    <w:rsid w:val="005325E5"/>
    <w:rsid w:val="0053286F"/>
    <w:rsid w:val="00532897"/>
    <w:rsid w:val="0053297C"/>
    <w:rsid w:val="00532B98"/>
    <w:rsid w:val="00532F02"/>
    <w:rsid w:val="0053344C"/>
    <w:rsid w:val="00533517"/>
    <w:rsid w:val="005335E3"/>
    <w:rsid w:val="00533743"/>
    <w:rsid w:val="00533A21"/>
    <w:rsid w:val="00533B56"/>
    <w:rsid w:val="00533F20"/>
    <w:rsid w:val="00534226"/>
    <w:rsid w:val="00534234"/>
    <w:rsid w:val="005342D5"/>
    <w:rsid w:val="00534514"/>
    <w:rsid w:val="005347EC"/>
    <w:rsid w:val="00534DC6"/>
    <w:rsid w:val="005353C2"/>
    <w:rsid w:val="005354BC"/>
    <w:rsid w:val="005354CA"/>
    <w:rsid w:val="00535576"/>
    <w:rsid w:val="005355BE"/>
    <w:rsid w:val="00535636"/>
    <w:rsid w:val="00535680"/>
    <w:rsid w:val="005359FE"/>
    <w:rsid w:val="00535CB7"/>
    <w:rsid w:val="00535FD3"/>
    <w:rsid w:val="00535FEE"/>
    <w:rsid w:val="0053609E"/>
    <w:rsid w:val="00536285"/>
    <w:rsid w:val="00536650"/>
    <w:rsid w:val="005366E0"/>
    <w:rsid w:val="00536C01"/>
    <w:rsid w:val="00536ECF"/>
    <w:rsid w:val="00537009"/>
    <w:rsid w:val="005373A6"/>
    <w:rsid w:val="005373E1"/>
    <w:rsid w:val="0053744E"/>
    <w:rsid w:val="0053753E"/>
    <w:rsid w:val="0053781B"/>
    <w:rsid w:val="0053798C"/>
    <w:rsid w:val="00537A82"/>
    <w:rsid w:val="00537D50"/>
    <w:rsid w:val="0054020D"/>
    <w:rsid w:val="005402D2"/>
    <w:rsid w:val="00540376"/>
    <w:rsid w:val="00540395"/>
    <w:rsid w:val="00540691"/>
    <w:rsid w:val="0054081F"/>
    <w:rsid w:val="00540ACC"/>
    <w:rsid w:val="00540B9C"/>
    <w:rsid w:val="00540D55"/>
    <w:rsid w:val="00540EAD"/>
    <w:rsid w:val="00540F66"/>
    <w:rsid w:val="00541187"/>
    <w:rsid w:val="00541194"/>
    <w:rsid w:val="005411DC"/>
    <w:rsid w:val="005414CA"/>
    <w:rsid w:val="005416DF"/>
    <w:rsid w:val="00541741"/>
    <w:rsid w:val="00541996"/>
    <w:rsid w:val="00541A71"/>
    <w:rsid w:val="00541BB1"/>
    <w:rsid w:val="00541FDC"/>
    <w:rsid w:val="00542207"/>
    <w:rsid w:val="0054224E"/>
    <w:rsid w:val="00542436"/>
    <w:rsid w:val="00542478"/>
    <w:rsid w:val="0054276B"/>
    <w:rsid w:val="0054279D"/>
    <w:rsid w:val="00542B9D"/>
    <w:rsid w:val="00542C50"/>
    <w:rsid w:val="00543305"/>
    <w:rsid w:val="005433A8"/>
    <w:rsid w:val="005434C2"/>
    <w:rsid w:val="0054386D"/>
    <w:rsid w:val="005439B7"/>
    <w:rsid w:val="00543E2C"/>
    <w:rsid w:val="005440BC"/>
    <w:rsid w:val="00544255"/>
    <w:rsid w:val="005443F5"/>
    <w:rsid w:val="005448B7"/>
    <w:rsid w:val="00544A59"/>
    <w:rsid w:val="00544A7C"/>
    <w:rsid w:val="00544E3F"/>
    <w:rsid w:val="00544EF7"/>
    <w:rsid w:val="00544F53"/>
    <w:rsid w:val="00544FCC"/>
    <w:rsid w:val="00545024"/>
    <w:rsid w:val="005450B5"/>
    <w:rsid w:val="005450C4"/>
    <w:rsid w:val="00545270"/>
    <w:rsid w:val="00545499"/>
    <w:rsid w:val="00545686"/>
    <w:rsid w:val="00545986"/>
    <w:rsid w:val="00545B17"/>
    <w:rsid w:val="00545BDE"/>
    <w:rsid w:val="00545DD9"/>
    <w:rsid w:val="00545EBF"/>
    <w:rsid w:val="0054600C"/>
    <w:rsid w:val="0054611B"/>
    <w:rsid w:val="0054619B"/>
    <w:rsid w:val="005461CB"/>
    <w:rsid w:val="00546314"/>
    <w:rsid w:val="00546367"/>
    <w:rsid w:val="00546384"/>
    <w:rsid w:val="0054649A"/>
    <w:rsid w:val="00546528"/>
    <w:rsid w:val="0054661D"/>
    <w:rsid w:val="00546B0A"/>
    <w:rsid w:val="00546C85"/>
    <w:rsid w:val="00546CE0"/>
    <w:rsid w:val="0054700D"/>
    <w:rsid w:val="00547641"/>
    <w:rsid w:val="00547B2D"/>
    <w:rsid w:val="00547D61"/>
    <w:rsid w:val="00547EDA"/>
    <w:rsid w:val="00547F0A"/>
    <w:rsid w:val="00550050"/>
    <w:rsid w:val="005502A2"/>
    <w:rsid w:val="00550364"/>
    <w:rsid w:val="00550A3F"/>
    <w:rsid w:val="00550C0F"/>
    <w:rsid w:val="00550D6F"/>
    <w:rsid w:val="00550EE5"/>
    <w:rsid w:val="00550FE7"/>
    <w:rsid w:val="00551184"/>
    <w:rsid w:val="0055145E"/>
    <w:rsid w:val="0055183A"/>
    <w:rsid w:val="00551E9E"/>
    <w:rsid w:val="00551FD8"/>
    <w:rsid w:val="00552044"/>
    <w:rsid w:val="0055223C"/>
    <w:rsid w:val="0055261F"/>
    <w:rsid w:val="0055273B"/>
    <w:rsid w:val="005527D2"/>
    <w:rsid w:val="00552AC2"/>
    <w:rsid w:val="00552C3B"/>
    <w:rsid w:val="00552DC2"/>
    <w:rsid w:val="00552DF6"/>
    <w:rsid w:val="00552EA7"/>
    <w:rsid w:val="00552F6D"/>
    <w:rsid w:val="005533AA"/>
    <w:rsid w:val="005534E4"/>
    <w:rsid w:val="0055368A"/>
    <w:rsid w:val="005537DE"/>
    <w:rsid w:val="0055388C"/>
    <w:rsid w:val="0055390E"/>
    <w:rsid w:val="00553D30"/>
    <w:rsid w:val="00553E17"/>
    <w:rsid w:val="0055416F"/>
    <w:rsid w:val="005544C7"/>
    <w:rsid w:val="00554708"/>
    <w:rsid w:val="00554A12"/>
    <w:rsid w:val="00554BB0"/>
    <w:rsid w:val="00554D54"/>
    <w:rsid w:val="005556B8"/>
    <w:rsid w:val="0055584B"/>
    <w:rsid w:val="00555A04"/>
    <w:rsid w:val="00555B79"/>
    <w:rsid w:val="00555F4B"/>
    <w:rsid w:val="005560DF"/>
    <w:rsid w:val="005563EF"/>
    <w:rsid w:val="00556567"/>
    <w:rsid w:val="005565B6"/>
    <w:rsid w:val="00556778"/>
    <w:rsid w:val="005569E1"/>
    <w:rsid w:val="00556A8F"/>
    <w:rsid w:val="00556B45"/>
    <w:rsid w:val="00556D2B"/>
    <w:rsid w:val="005571BC"/>
    <w:rsid w:val="005572E4"/>
    <w:rsid w:val="00557C04"/>
    <w:rsid w:val="005601F5"/>
    <w:rsid w:val="00560B09"/>
    <w:rsid w:val="00560DF7"/>
    <w:rsid w:val="00560F6D"/>
    <w:rsid w:val="00561040"/>
    <w:rsid w:val="00561200"/>
    <w:rsid w:val="005612EF"/>
    <w:rsid w:val="0056140D"/>
    <w:rsid w:val="00561A11"/>
    <w:rsid w:val="00561C0F"/>
    <w:rsid w:val="00561C23"/>
    <w:rsid w:val="00561D43"/>
    <w:rsid w:val="00561E38"/>
    <w:rsid w:val="005624E8"/>
    <w:rsid w:val="005626A1"/>
    <w:rsid w:val="00562734"/>
    <w:rsid w:val="0056293D"/>
    <w:rsid w:val="005630F8"/>
    <w:rsid w:val="0056319A"/>
    <w:rsid w:val="005633FE"/>
    <w:rsid w:val="00563AAC"/>
    <w:rsid w:val="00563C3B"/>
    <w:rsid w:val="00563C9D"/>
    <w:rsid w:val="00563EC3"/>
    <w:rsid w:val="0056439A"/>
    <w:rsid w:val="0056451E"/>
    <w:rsid w:val="00564580"/>
    <w:rsid w:val="0056463E"/>
    <w:rsid w:val="0056493A"/>
    <w:rsid w:val="00564BD2"/>
    <w:rsid w:val="00564D40"/>
    <w:rsid w:val="00564E92"/>
    <w:rsid w:val="00565184"/>
    <w:rsid w:val="00565248"/>
    <w:rsid w:val="00565303"/>
    <w:rsid w:val="00565389"/>
    <w:rsid w:val="005654D2"/>
    <w:rsid w:val="00565656"/>
    <w:rsid w:val="00565B95"/>
    <w:rsid w:val="00565BC4"/>
    <w:rsid w:val="00565C3C"/>
    <w:rsid w:val="00565CF8"/>
    <w:rsid w:val="00565E21"/>
    <w:rsid w:val="00565FD5"/>
    <w:rsid w:val="005661E7"/>
    <w:rsid w:val="005663B1"/>
    <w:rsid w:val="00566944"/>
    <w:rsid w:val="00566B5E"/>
    <w:rsid w:val="00566BBF"/>
    <w:rsid w:val="00566C11"/>
    <w:rsid w:val="00566CDD"/>
    <w:rsid w:val="00566F5E"/>
    <w:rsid w:val="00566F7D"/>
    <w:rsid w:val="00566FE5"/>
    <w:rsid w:val="00567265"/>
    <w:rsid w:val="005672D3"/>
    <w:rsid w:val="005672EE"/>
    <w:rsid w:val="00567708"/>
    <w:rsid w:val="005678A2"/>
    <w:rsid w:val="00567969"/>
    <w:rsid w:val="00567A65"/>
    <w:rsid w:val="00567AB6"/>
    <w:rsid w:val="00567DEF"/>
    <w:rsid w:val="005700D4"/>
    <w:rsid w:val="005702B5"/>
    <w:rsid w:val="00570734"/>
    <w:rsid w:val="00570C0D"/>
    <w:rsid w:val="00570DB2"/>
    <w:rsid w:val="00571130"/>
    <w:rsid w:val="00571247"/>
    <w:rsid w:val="0057126D"/>
    <w:rsid w:val="0057166A"/>
    <w:rsid w:val="00571691"/>
    <w:rsid w:val="005717CC"/>
    <w:rsid w:val="00571832"/>
    <w:rsid w:val="00571A5C"/>
    <w:rsid w:val="00571C27"/>
    <w:rsid w:val="00571CA2"/>
    <w:rsid w:val="00571CAE"/>
    <w:rsid w:val="00571CBB"/>
    <w:rsid w:val="00571F2F"/>
    <w:rsid w:val="00571F5E"/>
    <w:rsid w:val="005720A2"/>
    <w:rsid w:val="00572412"/>
    <w:rsid w:val="00572594"/>
    <w:rsid w:val="00572855"/>
    <w:rsid w:val="00572992"/>
    <w:rsid w:val="00572BA3"/>
    <w:rsid w:val="00572F1A"/>
    <w:rsid w:val="00572F47"/>
    <w:rsid w:val="00573113"/>
    <w:rsid w:val="005734A9"/>
    <w:rsid w:val="00573AB5"/>
    <w:rsid w:val="00573D84"/>
    <w:rsid w:val="00573E60"/>
    <w:rsid w:val="00573E6A"/>
    <w:rsid w:val="005745BB"/>
    <w:rsid w:val="0057473F"/>
    <w:rsid w:val="0057484C"/>
    <w:rsid w:val="005749C5"/>
    <w:rsid w:val="00574A48"/>
    <w:rsid w:val="00574B5B"/>
    <w:rsid w:val="00574D7E"/>
    <w:rsid w:val="00574EFD"/>
    <w:rsid w:val="00574F1F"/>
    <w:rsid w:val="00575481"/>
    <w:rsid w:val="005754B2"/>
    <w:rsid w:val="00575616"/>
    <w:rsid w:val="005756B5"/>
    <w:rsid w:val="00575721"/>
    <w:rsid w:val="00575B3A"/>
    <w:rsid w:val="00575BAC"/>
    <w:rsid w:val="00575BE4"/>
    <w:rsid w:val="00575CA4"/>
    <w:rsid w:val="00576168"/>
    <w:rsid w:val="00576488"/>
    <w:rsid w:val="0057658C"/>
    <w:rsid w:val="005765AC"/>
    <w:rsid w:val="005765EA"/>
    <w:rsid w:val="00576626"/>
    <w:rsid w:val="005766C5"/>
    <w:rsid w:val="005769E6"/>
    <w:rsid w:val="00576A58"/>
    <w:rsid w:val="00576AEE"/>
    <w:rsid w:val="00576B94"/>
    <w:rsid w:val="00576D53"/>
    <w:rsid w:val="00576E88"/>
    <w:rsid w:val="00576F88"/>
    <w:rsid w:val="0057753D"/>
    <w:rsid w:val="00577684"/>
    <w:rsid w:val="00577765"/>
    <w:rsid w:val="00577797"/>
    <w:rsid w:val="00577838"/>
    <w:rsid w:val="00577A87"/>
    <w:rsid w:val="00577BEE"/>
    <w:rsid w:val="00577C00"/>
    <w:rsid w:val="00577E39"/>
    <w:rsid w:val="00577E3C"/>
    <w:rsid w:val="00577F86"/>
    <w:rsid w:val="00577FC2"/>
    <w:rsid w:val="00580323"/>
    <w:rsid w:val="005806EC"/>
    <w:rsid w:val="0058112D"/>
    <w:rsid w:val="00581593"/>
    <w:rsid w:val="005816E1"/>
    <w:rsid w:val="0058189E"/>
    <w:rsid w:val="005818FE"/>
    <w:rsid w:val="00581C43"/>
    <w:rsid w:val="00581E21"/>
    <w:rsid w:val="00581E24"/>
    <w:rsid w:val="00581EDE"/>
    <w:rsid w:val="00582011"/>
    <w:rsid w:val="0058202E"/>
    <w:rsid w:val="00582164"/>
    <w:rsid w:val="005821D9"/>
    <w:rsid w:val="005825D4"/>
    <w:rsid w:val="00582621"/>
    <w:rsid w:val="005827D4"/>
    <w:rsid w:val="00582A14"/>
    <w:rsid w:val="00582C14"/>
    <w:rsid w:val="00582C91"/>
    <w:rsid w:val="00583022"/>
    <w:rsid w:val="00583268"/>
    <w:rsid w:val="005833C8"/>
    <w:rsid w:val="00583685"/>
    <w:rsid w:val="00583B3C"/>
    <w:rsid w:val="00583D15"/>
    <w:rsid w:val="00583D98"/>
    <w:rsid w:val="00583EF3"/>
    <w:rsid w:val="00583F32"/>
    <w:rsid w:val="00583FF5"/>
    <w:rsid w:val="00584189"/>
    <w:rsid w:val="005841D1"/>
    <w:rsid w:val="0058445D"/>
    <w:rsid w:val="00584640"/>
    <w:rsid w:val="005848A9"/>
    <w:rsid w:val="005848FC"/>
    <w:rsid w:val="00584B6E"/>
    <w:rsid w:val="00584E17"/>
    <w:rsid w:val="0058505A"/>
    <w:rsid w:val="0058525F"/>
    <w:rsid w:val="00585B1B"/>
    <w:rsid w:val="00585C83"/>
    <w:rsid w:val="00585E0E"/>
    <w:rsid w:val="00585F14"/>
    <w:rsid w:val="00586245"/>
    <w:rsid w:val="00586246"/>
    <w:rsid w:val="005862B4"/>
    <w:rsid w:val="005864D8"/>
    <w:rsid w:val="0058688C"/>
    <w:rsid w:val="00586C1F"/>
    <w:rsid w:val="00586C37"/>
    <w:rsid w:val="00586FF0"/>
    <w:rsid w:val="0058703E"/>
    <w:rsid w:val="00587094"/>
    <w:rsid w:val="00587235"/>
    <w:rsid w:val="005873B2"/>
    <w:rsid w:val="0058753E"/>
    <w:rsid w:val="005875D5"/>
    <w:rsid w:val="005875E2"/>
    <w:rsid w:val="00587782"/>
    <w:rsid w:val="00587F79"/>
    <w:rsid w:val="0059035B"/>
    <w:rsid w:val="0059072A"/>
    <w:rsid w:val="00590730"/>
    <w:rsid w:val="00590B2E"/>
    <w:rsid w:val="00590C36"/>
    <w:rsid w:val="00590CAC"/>
    <w:rsid w:val="005914AF"/>
    <w:rsid w:val="00591B89"/>
    <w:rsid w:val="00591DEA"/>
    <w:rsid w:val="00591E23"/>
    <w:rsid w:val="00591E56"/>
    <w:rsid w:val="00591FE7"/>
    <w:rsid w:val="0059242D"/>
    <w:rsid w:val="005928B2"/>
    <w:rsid w:val="00592BBF"/>
    <w:rsid w:val="00592DF4"/>
    <w:rsid w:val="00592F97"/>
    <w:rsid w:val="0059305A"/>
    <w:rsid w:val="00593127"/>
    <w:rsid w:val="00593712"/>
    <w:rsid w:val="005938DD"/>
    <w:rsid w:val="00593B01"/>
    <w:rsid w:val="00593E96"/>
    <w:rsid w:val="0059412A"/>
    <w:rsid w:val="0059429A"/>
    <w:rsid w:val="0059436C"/>
    <w:rsid w:val="005944C2"/>
    <w:rsid w:val="00594A65"/>
    <w:rsid w:val="00594AA4"/>
    <w:rsid w:val="00594D63"/>
    <w:rsid w:val="00594ED7"/>
    <w:rsid w:val="00595004"/>
    <w:rsid w:val="00595278"/>
    <w:rsid w:val="005955DE"/>
    <w:rsid w:val="00595724"/>
    <w:rsid w:val="00595936"/>
    <w:rsid w:val="00595C42"/>
    <w:rsid w:val="00595E88"/>
    <w:rsid w:val="00596372"/>
    <w:rsid w:val="005964F9"/>
    <w:rsid w:val="00596935"/>
    <w:rsid w:val="00596AF7"/>
    <w:rsid w:val="00596BBB"/>
    <w:rsid w:val="00596D27"/>
    <w:rsid w:val="00596DA3"/>
    <w:rsid w:val="00596DAC"/>
    <w:rsid w:val="00596FFE"/>
    <w:rsid w:val="00597042"/>
    <w:rsid w:val="0059704D"/>
    <w:rsid w:val="0059727A"/>
    <w:rsid w:val="00597344"/>
    <w:rsid w:val="005975EF"/>
    <w:rsid w:val="005975FA"/>
    <w:rsid w:val="0059785E"/>
    <w:rsid w:val="00597B02"/>
    <w:rsid w:val="005A0236"/>
    <w:rsid w:val="005A078B"/>
    <w:rsid w:val="005A0AAB"/>
    <w:rsid w:val="005A0F31"/>
    <w:rsid w:val="005A1127"/>
    <w:rsid w:val="005A13EA"/>
    <w:rsid w:val="005A1421"/>
    <w:rsid w:val="005A144D"/>
    <w:rsid w:val="005A14BE"/>
    <w:rsid w:val="005A152E"/>
    <w:rsid w:val="005A15A4"/>
    <w:rsid w:val="005A1A5A"/>
    <w:rsid w:val="005A1A7E"/>
    <w:rsid w:val="005A1AFA"/>
    <w:rsid w:val="005A1C22"/>
    <w:rsid w:val="005A1CBA"/>
    <w:rsid w:val="005A1CE2"/>
    <w:rsid w:val="005A23D3"/>
    <w:rsid w:val="005A24BF"/>
    <w:rsid w:val="005A2730"/>
    <w:rsid w:val="005A2E00"/>
    <w:rsid w:val="005A2F3D"/>
    <w:rsid w:val="005A39D3"/>
    <w:rsid w:val="005A3A6A"/>
    <w:rsid w:val="005A3A73"/>
    <w:rsid w:val="005A3C62"/>
    <w:rsid w:val="005A3DC4"/>
    <w:rsid w:val="005A404B"/>
    <w:rsid w:val="005A4142"/>
    <w:rsid w:val="005A4738"/>
    <w:rsid w:val="005A47E7"/>
    <w:rsid w:val="005A49F8"/>
    <w:rsid w:val="005A4CB8"/>
    <w:rsid w:val="005A4D0F"/>
    <w:rsid w:val="005A4EFC"/>
    <w:rsid w:val="005A4F5C"/>
    <w:rsid w:val="005A5374"/>
    <w:rsid w:val="005A5379"/>
    <w:rsid w:val="005A5505"/>
    <w:rsid w:val="005A5AC0"/>
    <w:rsid w:val="005A5AFC"/>
    <w:rsid w:val="005A600A"/>
    <w:rsid w:val="005A6024"/>
    <w:rsid w:val="005A61CC"/>
    <w:rsid w:val="005A66D8"/>
    <w:rsid w:val="005A6D2F"/>
    <w:rsid w:val="005A6FF7"/>
    <w:rsid w:val="005A7109"/>
    <w:rsid w:val="005A74DF"/>
    <w:rsid w:val="005A7759"/>
    <w:rsid w:val="005A7ABB"/>
    <w:rsid w:val="005A7B5E"/>
    <w:rsid w:val="005A7D9A"/>
    <w:rsid w:val="005B0007"/>
    <w:rsid w:val="005B02E8"/>
    <w:rsid w:val="005B0520"/>
    <w:rsid w:val="005B0AEA"/>
    <w:rsid w:val="005B0BED"/>
    <w:rsid w:val="005B0FE6"/>
    <w:rsid w:val="005B1370"/>
    <w:rsid w:val="005B13CC"/>
    <w:rsid w:val="005B1460"/>
    <w:rsid w:val="005B1507"/>
    <w:rsid w:val="005B1C91"/>
    <w:rsid w:val="005B1D4A"/>
    <w:rsid w:val="005B2347"/>
    <w:rsid w:val="005B24F5"/>
    <w:rsid w:val="005B2618"/>
    <w:rsid w:val="005B267E"/>
    <w:rsid w:val="005B27F3"/>
    <w:rsid w:val="005B29DE"/>
    <w:rsid w:val="005B2A34"/>
    <w:rsid w:val="005B2FB2"/>
    <w:rsid w:val="005B3121"/>
    <w:rsid w:val="005B3137"/>
    <w:rsid w:val="005B3224"/>
    <w:rsid w:val="005B3750"/>
    <w:rsid w:val="005B37B9"/>
    <w:rsid w:val="005B38C3"/>
    <w:rsid w:val="005B39EA"/>
    <w:rsid w:val="005B3BEA"/>
    <w:rsid w:val="005B3E17"/>
    <w:rsid w:val="005B4224"/>
    <w:rsid w:val="005B4415"/>
    <w:rsid w:val="005B4451"/>
    <w:rsid w:val="005B44F1"/>
    <w:rsid w:val="005B48E3"/>
    <w:rsid w:val="005B4A1D"/>
    <w:rsid w:val="005B5445"/>
    <w:rsid w:val="005B5729"/>
    <w:rsid w:val="005B5C0F"/>
    <w:rsid w:val="005B5C2B"/>
    <w:rsid w:val="005B5C63"/>
    <w:rsid w:val="005B5D73"/>
    <w:rsid w:val="005B5E3D"/>
    <w:rsid w:val="005B5E3E"/>
    <w:rsid w:val="005B5ED5"/>
    <w:rsid w:val="005B634C"/>
    <w:rsid w:val="005B6465"/>
    <w:rsid w:val="005B66DC"/>
    <w:rsid w:val="005B68A6"/>
    <w:rsid w:val="005B6B29"/>
    <w:rsid w:val="005B6BC3"/>
    <w:rsid w:val="005B6C6F"/>
    <w:rsid w:val="005B6F8D"/>
    <w:rsid w:val="005B7467"/>
    <w:rsid w:val="005B767C"/>
    <w:rsid w:val="005B768C"/>
    <w:rsid w:val="005B76CB"/>
    <w:rsid w:val="005B7822"/>
    <w:rsid w:val="005B7AFF"/>
    <w:rsid w:val="005B7CB2"/>
    <w:rsid w:val="005B7F22"/>
    <w:rsid w:val="005C0075"/>
    <w:rsid w:val="005C0101"/>
    <w:rsid w:val="005C0587"/>
    <w:rsid w:val="005C0AB8"/>
    <w:rsid w:val="005C0FA8"/>
    <w:rsid w:val="005C112F"/>
    <w:rsid w:val="005C121B"/>
    <w:rsid w:val="005C1339"/>
    <w:rsid w:val="005C1A95"/>
    <w:rsid w:val="005C1AB6"/>
    <w:rsid w:val="005C1FA2"/>
    <w:rsid w:val="005C1FF7"/>
    <w:rsid w:val="005C25DB"/>
    <w:rsid w:val="005C2767"/>
    <w:rsid w:val="005C2891"/>
    <w:rsid w:val="005C2F18"/>
    <w:rsid w:val="005C2F6D"/>
    <w:rsid w:val="005C2FEF"/>
    <w:rsid w:val="005C300E"/>
    <w:rsid w:val="005C30AC"/>
    <w:rsid w:val="005C3248"/>
    <w:rsid w:val="005C328C"/>
    <w:rsid w:val="005C3A53"/>
    <w:rsid w:val="005C3C64"/>
    <w:rsid w:val="005C3E3B"/>
    <w:rsid w:val="005C4079"/>
    <w:rsid w:val="005C46BB"/>
    <w:rsid w:val="005C4A84"/>
    <w:rsid w:val="005C4B92"/>
    <w:rsid w:val="005C4CC1"/>
    <w:rsid w:val="005C532A"/>
    <w:rsid w:val="005C5802"/>
    <w:rsid w:val="005C5812"/>
    <w:rsid w:val="005C5A48"/>
    <w:rsid w:val="005C5BCA"/>
    <w:rsid w:val="005C5C72"/>
    <w:rsid w:val="005C5CC1"/>
    <w:rsid w:val="005C5FDC"/>
    <w:rsid w:val="005C6436"/>
    <w:rsid w:val="005C64E9"/>
    <w:rsid w:val="005C65B5"/>
    <w:rsid w:val="005C6689"/>
    <w:rsid w:val="005C6B1E"/>
    <w:rsid w:val="005C6EA4"/>
    <w:rsid w:val="005C707B"/>
    <w:rsid w:val="005C7499"/>
    <w:rsid w:val="005C7745"/>
    <w:rsid w:val="005C77C3"/>
    <w:rsid w:val="005C786D"/>
    <w:rsid w:val="005C7991"/>
    <w:rsid w:val="005C7AFB"/>
    <w:rsid w:val="005C7FA3"/>
    <w:rsid w:val="005D000F"/>
    <w:rsid w:val="005D0016"/>
    <w:rsid w:val="005D076D"/>
    <w:rsid w:val="005D07AA"/>
    <w:rsid w:val="005D0800"/>
    <w:rsid w:val="005D0CC1"/>
    <w:rsid w:val="005D0DFC"/>
    <w:rsid w:val="005D16EB"/>
    <w:rsid w:val="005D19C7"/>
    <w:rsid w:val="005D1A17"/>
    <w:rsid w:val="005D1A4F"/>
    <w:rsid w:val="005D1A95"/>
    <w:rsid w:val="005D1C6C"/>
    <w:rsid w:val="005D2199"/>
    <w:rsid w:val="005D2684"/>
    <w:rsid w:val="005D2883"/>
    <w:rsid w:val="005D28E0"/>
    <w:rsid w:val="005D2F6C"/>
    <w:rsid w:val="005D2F8C"/>
    <w:rsid w:val="005D384E"/>
    <w:rsid w:val="005D3860"/>
    <w:rsid w:val="005D3878"/>
    <w:rsid w:val="005D387E"/>
    <w:rsid w:val="005D3B1D"/>
    <w:rsid w:val="005D3BD1"/>
    <w:rsid w:val="005D3C7D"/>
    <w:rsid w:val="005D42D1"/>
    <w:rsid w:val="005D441D"/>
    <w:rsid w:val="005D44A1"/>
    <w:rsid w:val="005D45F2"/>
    <w:rsid w:val="005D4769"/>
    <w:rsid w:val="005D49CB"/>
    <w:rsid w:val="005D4A8C"/>
    <w:rsid w:val="005D4DEB"/>
    <w:rsid w:val="005D4DEC"/>
    <w:rsid w:val="005D4E9D"/>
    <w:rsid w:val="005D5081"/>
    <w:rsid w:val="005D50E9"/>
    <w:rsid w:val="005D58CB"/>
    <w:rsid w:val="005D5ABA"/>
    <w:rsid w:val="005D5F49"/>
    <w:rsid w:val="005D6093"/>
    <w:rsid w:val="005D6307"/>
    <w:rsid w:val="005D6493"/>
    <w:rsid w:val="005D6520"/>
    <w:rsid w:val="005D659F"/>
    <w:rsid w:val="005D668E"/>
    <w:rsid w:val="005D66E4"/>
    <w:rsid w:val="005D6B88"/>
    <w:rsid w:val="005D6B9E"/>
    <w:rsid w:val="005D6BFE"/>
    <w:rsid w:val="005D6C58"/>
    <w:rsid w:val="005D6C7F"/>
    <w:rsid w:val="005D7007"/>
    <w:rsid w:val="005D72F8"/>
    <w:rsid w:val="005D740F"/>
    <w:rsid w:val="005D782B"/>
    <w:rsid w:val="005D7914"/>
    <w:rsid w:val="005D79BB"/>
    <w:rsid w:val="005D7E91"/>
    <w:rsid w:val="005E00A2"/>
    <w:rsid w:val="005E035F"/>
    <w:rsid w:val="005E0419"/>
    <w:rsid w:val="005E045D"/>
    <w:rsid w:val="005E05D6"/>
    <w:rsid w:val="005E06FA"/>
    <w:rsid w:val="005E0A0D"/>
    <w:rsid w:val="005E0A46"/>
    <w:rsid w:val="005E0ABF"/>
    <w:rsid w:val="005E0B74"/>
    <w:rsid w:val="005E0C35"/>
    <w:rsid w:val="005E0F8C"/>
    <w:rsid w:val="005E1000"/>
    <w:rsid w:val="005E105F"/>
    <w:rsid w:val="005E12AB"/>
    <w:rsid w:val="005E16FB"/>
    <w:rsid w:val="005E1778"/>
    <w:rsid w:val="005E19C3"/>
    <w:rsid w:val="005E1A30"/>
    <w:rsid w:val="005E1A89"/>
    <w:rsid w:val="005E1F09"/>
    <w:rsid w:val="005E1F2D"/>
    <w:rsid w:val="005E220B"/>
    <w:rsid w:val="005E2307"/>
    <w:rsid w:val="005E2484"/>
    <w:rsid w:val="005E2509"/>
    <w:rsid w:val="005E2ADE"/>
    <w:rsid w:val="005E2B04"/>
    <w:rsid w:val="005E303B"/>
    <w:rsid w:val="005E325B"/>
    <w:rsid w:val="005E3298"/>
    <w:rsid w:val="005E36C8"/>
    <w:rsid w:val="005E382E"/>
    <w:rsid w:val="005E38F8"/>
    <w:rsid w:val="005E3A9B"/>
    <w:rsid w:val="005E3C5C"/>
    <w:rsid w:val="005E4184"/>
    <w:rsid w:val="005E465F"/>
    <w:rsid w:val="005E4D97"/>
    <w:rsid w:val="005E50FC"/>
    <w:rsid w:val="005E573A"/>
    <w:rsid w:val="005E57EF"/>
    <w:rsid w:val="005E5893"/>
    <w:rsid w:val="005E5A5D"/>
    <w:rsid w:val="005E5D0B"/>
    <w:rsid w:val="005E5D36"/>
    <w:rsid w:val="005E5D38"/>
    <w:rsid w:val="005E5D89"/>
    <w:rsid w:val="005E611C"/>
    <w:rsid w:val="005E6175"/>
    <w:rsid w:val="005E6431"/>
    <w:rsid w:val="005E6488"/>
    <w:rsid w:val="005E6841"/>
    <w:rsid w:val="005E6958"/>
    <w:rsid w:val="005E6B00"/>
    <w:rsid w:val="005E6B66"/>
    <w:rsid w:val="005E6B7F"/>
    <w:rsid w:val="005E6B83"/>
    <w:rsid w:val="005E6D8F"/>
    <w:rsid w:val="005E6FA2"/>
    <w:rsid w:val="005E7593"/>
    <w:rsid w:val="005E7649"/>
    <w:rsid w:val="005E7F54"/>
    <w:rsid w:val="005F0023"/>
    <w:rsid w:val="005F05E9"/>
    <w:rsid w:val="005F05F2"/>
    <w:rsid w:val="005F07A1"/>
    <w:rsid w:val="005F07AF"/>
    <w:rsid w:val="005F0985"/>
    <w:rsid w:val="005F0A18"/>
    <w:rsid w:val="005F0D4A"/>
    <w:rsid w:val="005F0D7B"/>
    <w:rsid w:val="005F1149"/>
    <w:rsid w:val="005F1380"/>
    <w:rsid w:val="005F13A4"/>
    <w:rsid w:val="005F1623"/>
    <w:rsid w:val="005F1A69"/>
    <w:rsid w:val="005F1ADC"/>
    <w:rsid w:val="005F1B87"/>
    <w:rsid w:val="005F1C71"/>
    <w:rsid w:val="005F1CDC"/>
    <w:rsid w:val="005F1F0B"/>
    <w:rsid w:val="005F1FA1"/>
    <w:rsid w:val="005F212D"/>
    <w:rsid w:val="005F24BF"/>
    <w:rsid w:val="005F272B"/>
    <w:rsid w:val="005F2759"/>
    <w:rsid w:val="005F280B"/>
    <w:rsid w:val="005F2F40"/>
    <w:rsid w:val="005F2F8E"/>
    <w:rsid w:val="005F33FD"/>
    <w:rsid w:val="005F3659"/>
    <w:rsid w:val="005F3FF3"/>
    <w:rsid w:val="005F420A"/>
    <w:rsid w:val="005F4459"/>
    <w:rsid w:val="005F44F8"/>
    <w:rsid w:val="005F4657"/>
    <w:rsid w:val="005F4707"/>
    <w:rsid w:val="005F483E"/>
    <w:rsid w:val="005F4A33"/>
    <w:rsid w:val="005F4A8F"/>
    <w:rsid w:val="005F4B0E"/>
    <w:rsid w:val="005F4BC4"/>
    <w:rsid w:val="005F4C5F"/>
    <w:rsid w:val="005F4E49"/>
    <w:rsid w:val="005F52F4"/>
    <w:rsid w:val="005F532E"/>
    <w:rsid w:val="005F53B3"/>
    <w:rsid w:val="005F5834"/>
    <w:rsid w:val="005F58C9"/>
    <w:rsid w:val="005F5A22"/>
    <w:rsid w:val="005F5B5E"/>
    <w:rsid w:val="005F5B95"/>
    <w:rsid w:val="005F5DD5"/>
    <w:rsid w:val="005F610F"/>
    <w:rsid w:val="005F6257"/>
    <w:rsid w:val="005F6564"/>
    <w:rsid w:val="005F6B45"/>
    <w:rsid w:val="005F6D88"/>
    <w:rsid w:val="005F6ECB"/>
    <w:rsid w:val="005F6F87"/>
    <w:rsid w:val="005F70BD"/>
    <w:rsid w:val="005F7463"/>
    <w:rsid w:val="005F784F"/>
    <w:rsid w:val="005F7A04"/>
    <w:rsid w:val="00600175"/>
    <w:rsid w:val="0060025F"/>
    <w:rsid w:val="00600416"/>
    <w:rsid w:val="00600624"/>
    <w:rsid w:val="006007AB"/>
    <w:rsid w:val="0060091B"/>
    <w:rsid w:val="00600D85"/>
    <w:rsid w:val="00600DA4"/>
    <w:rsid w:val="00600EE3"/>
    <w:rsid w:val="00600F19"/>
    <w:rsid w:val="0060126F"/>
    <w:rsid w:val="0060129A"/>
    <w:rsid w:val="0060175B"/>
    <w:rsid w:val="00601B86"/>
    <w:rsid w:val="00602037"/>
    <w:rsid w:val="00602049"/>
    <w:rsid w:val="00602071"/>
    <w:rsid w:val="00602329"/>
    <w:rsid w:val="0060283E"/>
    <w:rsid w:val="00602BA1"/>
    <w:rsid w:val="00602E5E"/>
    <w:rsid w:val="00603076"/>
    <w:rsid w:val="006030CA"/>
    <w:rsid w:val="006030E3"/>
    <w:rsid w:val="0060348A"/>
    <w:rsid w:val="00603658"/>
    <w:rsid w:val="00603778"/>
    <w:rsid w:val="0060382B"/>
    <w:rsid w:val="0060389A"/>
    <w:rsid w:val="006038F7"/>
    <w:rsid w:val="00603A16"/>
    <w:rsid w:val="00603E55"/>
    <w:rsid w:val="00603EB3"/>
    <w:rsid w:val="00603EBD"/>
    <w:rsid w:val="00604183"/>
    <w:rsid w:val="0060423C"/>
    <w:rsid w:val="00604245"/>
    <w:rsid w:val="006043AF"/>
    <w:rsid w:val="00604520"/>
    <w:rsid w:val="006045BA"/>
    <w:rsid w:val="0060468F"/>
    <w:rsid w:val="00604784"/>
    <w:rsid w:val="00604999"/>
    <w:rsid w:val="00604C0A"/>
    <w:rsid w:val="00604D13"/>
    <w:rsid w:val="00604E36"/>
    <w:rsid w:val="0060500B"/>
    <w:rsid w:val="006050F1"/>
    <w:rsid w:val="00605B10"/>
    <w:rsid w:val="00605B45"/>
    <w:rsid w:val="0060600D"/>
    <w:rsid w:val="006060BC"/>
    <w:rsid w:val="006062F1"/>
    <w:rsid w:val="00606305"/>
    <w:rsid w:val="006063A5"/>
    <w:rsid w:val="006063E0"/>
    <w:rsid w:val="00606546"/>
    <w:rsid w:val="0060691E"/>
    <w:rsid w:val="006069F0"/>
    <w:rsid w:val="00606A17"/>
    <w:rsid w:val="00606EA4"/>
    <w:rsid w:val="00607588"/>
    <w:rsid w:val="00607629"/>
    <w:rsid w:val="0060783B"/>
    <w:rsid w:val="00607A93"/>
    <w:rsid w:val="00607B5E"/>
    <w:rsid w:val="00607B91"/>
    <w:rsid w:val="00607BDF"/>
    <w:rsid w:val="00607F54"/>
    <w:rsid w:val="00607F97"/>
    <w:rsid w:val="0061009C"/>
    <w:rsid w:val="0061022E"/>
    <w:rsid w:val="00610268"/>
    <w:rsid w:val="00610390"/>
    <w:rsid w:val="00610474"/>
    <w:rsid w:val="006105E0"/>
    <w:rsid w:val="0061091B"/>
    <w:rsid w:val="0061093E"/>
    <w:rsid w:val="00611009"/>
    <w:rsid w:val="0061117C"/>
    <w:rsid w:val="0061135F"/>
    <w:rsid w:val="00611550"/>
    <w:rsid w:val="006115EA"/>
    <w:rsid w:val="006116DD"/>
    <w:rsid w:val="00611701"/>
    <w:rsid w:val="00611F8C"/>
    <w:rsid w:val="00612332"/>
    <w:rsid w:val="00612358"/>
    <w:rsid w:val="006127BB"/>
    <w:rsid w:val="00612BA3"/>
    <w:rsid w:val="00612C2B"/>
    <w:rsid w:val="00612F02"/>
    <w:rsid w:val="0061300C"/>
    <w:rsid w:val="00613488"/>
    <w:rsid w:val="006135AF"/>
    <w:rsid w:val="0061394C"/>
    <w:rsid w:val="00613A76"/>
    <w:rsid w:val="00613D85"/>
    <w:rsid w:val="00613F72"/>
    <w:rsid w:val="00613F77"/>
    <w:rsid w:val="006140CD"/>
    <w:rsid w:val="006141F8"/>
    <w:rsid w:val="00614356"/>
    <w:rsid w:val="0061465A"/>
    <w:rsid w:val="00614BC7"/>
    <w:rsid w:val="00614F36"/>
    <w:rsid w:val="0061500F"/>
    <w:rsid w:val="00615045"/>
    <w:rsid w:val="00615482"/>
    <w:rsid w:val="006154FC"/>
    <w:rsid w:val="0061558B"/>
    <w:rsid w:val="006156DA"/>
    <w:rsid w:val="0061580B"/>
    <w:rsid w:val="00615A1A"/>
    <w:rsid w:val="00615A5D"/>
    <w:rsid w:val="00615BDE"/>
    <w:rsid w:val="00615D1A"/>
    <w:rsid w:val="00615E85"/>
    <w:rsid w:val="006160D3"/>
    <w:rsid w:val="00616166"/>
    <w:rsid w:val="00616224"/>
    <w:rsid w:val="006162A0"/>
    <w:rsid w:val="00616347"/>
    <w:rsid w:val="006167C2"/>
    <w:rsid w:val="00616B09"/>
    <w:rsid w:val="00616B7C"/>
    <w:rsid w:val="00616F07"/>
    <w:rsid w:val="00616F1B"/>
    <w:rsid w:val="0061703C"/>
    <w:rsid w:val="00617409"/>
    <w:rsid w:val="00617582"/>
    <w:rsid w:val="00617940"/>
    <w:rsid w:val="00617DA5"/>
    <w:rsid w:val="0062023F"/>
    <w:rsid w:val="006202F7"/>
    <w:rsid w:val="00620341"/>
    <w:rsid w:val="006203A7"/>
    <w:rsid w:val="0062069D"/>
    <w:rsid w:val="006209EB"/>
    <w:rsid w:val="00620B99"/>
    <w:rsid w:val="00620D91"/>
    <w:rsid w:val="00620DF7"/>
    <w:rsid w:val="00621111"/>
    <w:rsid w:val="006211CC"/>
    <w:rsid w:val="00621265"/>
    <w:rsid w:val="0062144D"/>
    <w:rsid w:val="00621FE5"/>
    <w:rsid w:val="00622077"/>
    <w:rsid w:val="0062240C"/>
    <w:rsid w:val="00622432"/>
    <w:rsid w:val="006229AC"/>
    <w:rsid w:val="00622A2E"/>
    <w:rsid w:val="00622AA6"/>
    <w:rsid w:val="00623513"/>
    <w:rsid w:val="00623849"/>
    <w:rsid w:val="006238A5"/>
    <w:rsid w:val="00623A58"/>
    <w:rsid w:val="00623B90"/>
    <w:rsid w:val="00623CCC"/>
    <w:rsid w:val="00623E2F"/>
    <w:rsid w:val="00624559"/>
    <w:rsid w:val="006245D4"/>
    <w:rsid w:val="006248F6"/>
    <w:rsid w:val="006249D6"/>
    <w:rsid w:val="006249F2"/>
    <w:rsid w:val="00624BE4"/>
    <w:rsid w:val="00624CF1"/>
    <w:rsid w:val="00624D79"/>
    <w:rsid w:val="00624D7A"/>
    <w:rsid w:val="00624D9E"/>
    <w:rsid w:val="00625055"/>
    <w:rsid w:val="00625463"/>
    <w:rsid w:val="00625656"/>
    <w:rsid w:val="0062573E"/>
    <w:rsid w:val="0062574D"/>
    <w:rsid w:val="006257BA"/>
    <w:rsid w:val="0062591F"/>
    <w:rsid w:val="006259B5"/>
    <w:rsid w:val="00625AF4"/>
    <w:rsid w:val="00625BCB"/>
    <w:rsid w:val="00626089"/>
    <w:rsid w:val="006261A3"/>
    <w:rsid w:val="006263CD"/>
    <w:rsid w:val="006264C3"/>
    <w:rsid w:val="0062662B"/>
    <w:rsid w:val="006273A8"/>
    <w:rsid w:val="006273F3"/>
    <w:rsid w:val="006275C1"/>
    <w:rsid w:val="0062763A"/>
    <w:rsid w:val="00627734"/>
    <w:rsid w:val="00627772"/>
    <w:rsid w:val="00627847"/>
    <w:rsid w:val="00627B3E"/>
    <w:rsid w:val="00627E73"/>
    <w:rsid w:val="00627F92"/>
    <w:rsid w:val="0063014E"/>
    <w:rsid w:val="00630199"/>
    <w:rsid w:val="0063024D"/>
    <w:rsid w:val="006303D9"/>
    <w:rsid w:val="006304AC"/>
    <w:rsid w:val="00630949"/>
    <w:rsid w:val="00630CA3"/>
    <w:rsid w:val="00630E54"/>
    <w:rsid w:val="00631050"/>
    <w:rsid w:val="006311DF"/>
    <w:rsid w:val="00631765"/>
    <w:rsid w:val="00631834"/>
    <w:rsid w:val="00631BAA"/>
    <w:rsid w:val="00631C40"/>
    <w:rsid w:val="00631F17"/>
    <w:rsid w:val="006320F9"/>
    <w:rsid w:val="00632267"/>
    <w:rsid w:val="0063249D"/>
    <w:rsid w:val="00632B87"/>
    <w:rsid w:val="00632C08"/>
    <w:rsid w:val="00632CB8"/>
    <w:rsid w:val="0063315C"/>
    <w:rsid w:val="006331E6"/>
    <w:rsid w:val="0063339A"/>
    <w:rsid w:val="00633483"/>
    <w:rsid w:val="00633552"/>
    <w:rsid w:val="006335B4"/>
    <w:rsid w:val="00633F59"/>
    <w:rsid w:val="00634121"/>
    <w:rsid w:val="0063438C"/>
    <w:rsid w:val="0063490D"/>
    <w:rsid w:val="00634978"/>
    <w:rsid w:val="00634A99"/>
    <w:rsid w:val="00634AF9"/>
    <w:rsid w:val="00634B4A"/>
    <w:rsid w:val="00634C4D"/>
    <w:rsid w:val="006352D2"/>
    <w:rsid w:val="00635503"/>
    <w:rsid w:val="006357C2"/>
    <w:rsid w:val="00635A54"/>
    <w:rsid w:val="00635ADE"/>
    <w:rsid w:val="00635CB0"/>
    <w:rsid w:val="00635E57"/>
    <w:rsid w:val="00635EF2"/>
    <w:rsid w:val="00635F3E"/>
    <w:rsid w:val="00636275"/>
    <w:rsid w:val="0063631D"/>
    <w:rsid w:val="00636810"/>
    <w:rsid w:val="00636A97"/>
    <w:rsid w:val="00636D87"/>
    <w:rsid w:val="00636FAA"/>
    <w:rsid w:val="006372AF"/>
    <w:rsid w:val="006374A3"/>
    <w:rsid w:val="00637D51"/>
    <w:rsid w:val="00640325"/>
    <w:rsid w:val="00640391"/>
    <w:rsid w:val="00640BFB"/>
    <w:rsid w:val="00641077"/>
    <w:rsid w:val="006414B0"/>
    <w:rsid w:val="00641654"/>
    <w:rsid w:val="006418AE"/>
    <w:rsid w:val="006418B6"/>
    <w:rsid w:val="00641A51"/>
    <w:rsid w:val="00641BCA"/>
    <w:rsid w:val="00641C6F"/>
    <w:rsid w:val="00641E08"/>
    <w:rsid w:val="00641E54"/>
    <w:rsid w:val="006420AD"/>
    <w:rsid w:val="0064262A"/>
    <w:rsid w:val="0064278E"/>
    <w:rsid w:val="00642B8E"/>
    <w:rsid w:val="00642C76"/>
    <w:rsid w:val="00642C87"/>
    <w:rsid w:val="00642FAA"/>
    <w:rsid w:val="0064310B"/>
    <w:rsid w:val="00643225"/>
    <w:rsid w:val="0064356D"/>
    <w:rsid w:val="0064377E"/>
    <w:rsid w:val="006437AD"/>
    <w:rsid w:val="00643879"/>
    <w:rsid w:val="00643AB4"/>
    <w:rsid w:val="00643B91"/>
    <w:rsid w:val="00643BA4"/>
    <w:rsid w:val="00643C4A"/>
    <w:rsid w:val="00643C50"/>
    <w:rsid w:val="006440F8"/>
    <w:rsid w:val="00644132"/>
    <w:rsid w:val="0064419A"/>
    <w:rsid w:val="006444D7"/>
    <w:rsid w:val="0064454C"/>
    <w:rsid w:val="006445E8"/>
    <w:rsid w:val="006448F7"/>
    <w:rsid w:val="006449BC"/>
    <w:rsid w:val="00644BC0"/>
    <w:rsid w:val="0064569E"/>
    <w:rsid w:val="006456CB"/>
    <w:rsid w:val="006456D1"/>
    <w:rsid w:val="0064588C"/>
    <w:rsid w:val="00645A0D"/>
    <w:rsid w:val="00645B21"/>
    <w:rsid w:val="00645D74"/>
    <w:rsid w:val="00646616"/>
    <w:rsid w:val="006466F2"/>
    <w:rsid w:val="00646BA1"/>
    <w:rsid w:val="00646E68"/>
    <w:rsid w:val="00646EFE"/>
    <w:rsid w:val="00646F4C"/>
    <w:rsid w:val="006472DD"/>
    <w:rsid w:val="00647F75"/>
    <w:rsid w:val="0065005B"/>
    <w:rsid w:val="006507D3"/>
    <w:rsid w:val="006509EB"/>
    <w:rsid w:val="00650B57"/>
    <w:rsid w:val="00650E87"/>
    <w:rsid w:val="00650F23"/>
    <w:rsid w:val="0065107D"/>
    <w:rsid w:val="0065109C"/>
    <w:rsid w:val="00651264"/>
    <w:rsid w:val="0065141A"/>
    <w:rsid w:val="00651429"/>
    <w:rsid w:val="00651552"/>
    <w:rsid w:val="006515C2"/>
    <w:rsid w:val="00651662"/>
    <w:rsid w:val="0065177F"/>
    <w:rsid w:val="006519E3"/>
    <w:rsid w:val="00651D4D"/>
    <w:rsid w:val="00651EE3"/>
    <w:rsid w:val="00651F87"/>
    <w:rsid w:val="00652096"/>
    <w:rsid w:val="0065209C"/>
    <w:rsid w:val="0065215F"/>
    <w:rsid w:val="006521B1"/>
    <w:rsid w:val="0065257B"/>
    <w:rsid w:val="0065261C"/>
    <w:rsid w:val="00652920"/>
    <w:rsid w:val="00652B28"/>
    <w:rsid w:val="00652B6A"/>
    <w:rsid w:val="00652CC0"/>
    <w:rsid w:val="00652E54"/>
    <w:rsid w:val="00652ED0"/>
    <w:rsid w:val="00652F17"/>
    <w:rsid w:val="00653037"/>
    <w:rsid w:val="006531B6"/>
    <w:rsid w:val="00653485"/>
    <w:rsid w:val="00653544"/>
    <w:rsid w:val="0065360B"/>
    <w:rsid w:val="0065375E"/>
    <w:rsid w:val="00653B5B"/>
    <w:rsid w:val="00653EE0"/>
    <w:rsid w:val="006542C8"/>
    <w:rsid w:val="0065438A"/>
    <w:rsid w:val="006544DE"/>
    <w:rsid w:val="0065459B"/>
    <w:rsid w:val="00654739"/>
    <w:rsid w:val="006549BE"/>
    <w:rsid w:val="00654A00"/>
    <w:rsid w:val="00654C3A"/>
    <w:rsid w:val="00654CBE"/>
    <w:rsid w:val="00654E07"/>
    <w:rsid w:val="00654E12"/>
    <w:rsid w:val="00654F5C"/>
    <w:rsid w:val="0065528C"/>
    <w:rsid w:val="00655AAB"/>
    <w:rsid w:val="00655D4D"/>
    <w:rsid w:val="006561F5"/>
    <w:rsid w:val="00656430"/>
    <w:rsid w:val="00656461"/>
    <w:rsid w:val="00656799"/>
    <w:rsid w:val="00656B00"/>
    <w:rsid w:val="00656B71"/>
    <w:rsid w:val="00656ECE"/>
    <w:rsid w:val="00656EFD"/>
    <w:rsid w:val="00656FE1"/>
    <w:rsid w:val="006573CD"/>
    <w:rsid w:val="00657456"/>
    <w:rsid w:val="006575B6"/>
    <w:rsid w:val="00657600"/>
    <w:rsid w:val="0065776B"/>
    <w:rsid w:val="006578C1"/>
    <w:rsid w:val="00657B3F"/>
    <w:rsid w:val="00657C08"/>
    <w:rsid w:val="00657F1D"/>
    <w:rsid w:val="0066021D"/>
    <w:rsid w:val="006604D0"/>
    <w:rsid w:val="0066065D"/>
    <w:rsid w:val="00660758"/>
    <w:rsid w:val="00660A33"/>
    <w:rsid w:val="00660F2B"/>
    <w:rsid w:val="0066112C"/>
    <w:rsid w:val="00661722"/>
    <w:rsid w:val="00661850"/>
    <w:rsid w:val="00661A58"/>
    <w:rsid w:val="00661B00"/>
    <w:rsid w:val="00661B4F"/>
    <w:rsid w:val="00661B9C"/>
    <w:rsid w:val="00661DDC"/>
    <w:rsid w:val="0066202F"/>
    <w:rsid w:val="00662099"/>
    <w:rsid w:val="00662105"/>
    <w:rsid w:val="006621A2"/>
    <w:rsid w:val="006622F6"/>
    <w:rsid w:val="006623E1"/>
    <w:rsid w:val="006627B6"/>
    <w:rsid w:val="006629E1"/>
    <w:rsid w:val="00662BE2"/>
    <w:rsid w:val="00662E88"/>
    <w:rsid w:val="00663122"/>
    <w:rsid w:val="00663307"/>
    <w:rsid w:val="00663525"/>
    <w:rsid w:val="006635D8"/>
    <w:rsid w:val="006636E1"/>
    <w:rsid w:val="0066373F"/>
    <w:rsid w:val="0066376D"/>
    <w:rsid w:val="00663A68"/>
    <w:rsid w:val="00663B20"/>
    <w:rsid w:val="00663B89"/>
    <w:rsid w:val="00663E31"/>
    <w:rsid w:val="006640B0"/>
    <w:rsid w:val="0066452E"/>
    <w:rsid w:val="0066453E"/>
    <w:rsid w:val="00664963"/>
    <w:rsid w:val="00664C3F"/>
    <w:rsid w:val="00665380"/>
    <w:rsid w:val="00665419"/>
    <w:rsid w:val="0066559E"/>
    <w:rsid w:val="006656DB"/>
    <w:rsid w:val="00665745"/>
    <w:rsid w:val="0066584D"/>
    <w:rsid w:val="00665871"/>
    <w:rsid w:val="00665AC4"/>
    <w:rsid w:val="00665BA5"/>
    <w:rsid w:val="00665D04"/>
    <w:rsid w:val="00665DEC"/>
    <w:rsid w:val="00665E13"/>
    <w:rsid w:val="00665F67"/>
    <w:rsid w:val="00665F97"/>
    <w:rsid w:val="00665FCE"/>
    <w:rsid w:val="0066690D"/>
    <w:rsid w:val="0066757F"/>
    <w:rsid w:val="0066772B"/>
    <w:rsid w:val="00667BB3"/>
    <w:rsid w:val="00667CE9"/>
    <w:rsid w:val="00667FDF"/>
    <w:rsid w:val="00670329"/>
    <w:rsid w:val="00670361"/>
    <w:rsid w:val="00670486"/>
    <w:rsid w:val="006705A7"/>
    <w:rsid w:val="006707FE"/>
    <w:rsid w:val="00670BC4"/>
    <w:rsid w:val="00670BCA"/>
    <w:rsid w:val="00670E5D"/>
    <w:rsid w:val="00670FF6"/>
    <w:rsid w:val="00671591"/>
    <w:rsid w:val="006716D3"/>
    <w:rsid w:val="0067196B"/>
    <w:rsid w:val="00671B57"/>
    <w:rsid w:val="006723F8"/>
    <w:rsid w:val="00672AAE"/>
    <w:rsid w:val="00672B31"/>
    <w:rsid w:val="00672BEC"/>
    <w:rsid w:val="00672BF7"/>
    <w:rsid w:val="0067317B"/>
    <w:rsid w:val="0067320E"/>
    <w:rsid w:val="006734C8"/>
    <w:rsid w:val="006735B1"/>
    <w:rsid w:val="00673909"/>
    <w:rsid w:val="0067399D"/>
    <w:rsid w:val="006739D0"/>
    <w:rsid w:val="006739F5"/>
    <w:rsid w:val="00673AA5"/>
    <w:rsid w:val="00673AE6"/>
    <w:rsid w:val="00673BE1"/>
    <w:rsid w:val="00673D5E"/>
    <w:rsid w:val="00673F64"/>
    <w:rsid w:val="006743B2"/>
    <w:rsid w:val="006743B8"/>
    <w:rsid w:val="006744EE"/>
    <w:rsid w:val="006747F9"/>
    <w:rsid w:val="00674818"/>
    <w:rsid w:val="00674F50"/>
    <w:rsid w:val="006751F5"/>
    <w:rsid w:val="00675503"/>
    <w:rsid w:val="00675609"/>
    <w:rsid w:val="00675646"/>
    <w:rsid w:val="0067568E"/>
    <w:rsid w:val="006758F1"/>
    <w:rsid w:val="0067597F"/>
    <w:rsid w:val="00675AC7"/>
    <w:rsid w:val="00675EDB"/>
    <w:rsid w:val="00676369"/>
    <w:rsid w:val="0067648D"/>
    <w:rsid w:val="00676636"/>
    <w:rsid w:val="006767A6"/>
    <w:rsid w:val="0067693D"/>
    <w:rsid w:val="006769F4"/>
    <w:rsid w:val="00676BBB"/>
    <w:rsid w:val="00677302"/>
    <w:rsid w:val="006773FC"/>
    <w:rsid w:val="00677495"/>
    <w:rsid w:val="00677A26"/>
    <w:rsid w:val="00677B4D"/>
    <w:rsid w:val="00677E7D"/>
    <w:rsid w:val="00677F25"/>
    <w:rsid w:val="00680269"/>
    <w:rsid w:val="00680E2D"/>
    <w:rsid w:val="00680F68"/>
    <w:rsid w:val="006811C8"/>
    <w:rsid w:val="00681208"/>
    <w:rsid w:val="00681487"/>
    <w:rsid w:val="006817C7"/>
    <w:rsid w:val="00681805"/>
    <w:rsid w:val="00681CE1"/>
    <w:rsid w:val="006826FC"/>
    <w:rsid w:val="00682861"/>
    <w:rsid w:val="006828CB"/>
    <w:rsid w:val="00682DCA"/>
    <w:rsid w:val="00682F75"/>
    <w:rsid w:val="00683311"/>
    <w:rsid w:val="006834F6"/>
    <w:rsid w:val="0068401C"/>
    <w:rsid w:val="00684045"/>
    <w:rsid w:val="0068408F"/>
    <w:rsid w:val="0068427D"/>
    <w:rsid w:val="0068439D"/>
    <w:rsid w:val="006843C0"/>
    <w:rsid w:val="006845E4"/>
    <w:rsid w:val="0068466E"/>
    <w:rsid w:val="00684A58"/>
    <w:rsid w:val="00684F6F"/>
    <w:rsid w:val="006850C3"/>
    <w:rsid w:val="006852F5"/>
    <w:rsid w:val="006853AB"/>
    <w:rsid w:val="00685452"/>
    <w:rsid w:val="0068548D"/>
    <w:rsid w:val="00685523"/>
    <w:rsid w:val="0068561A"/>
    <w:rsid w:val="006857C2"/>
    <w:rsid w:val="006857EE"/>
    <w:rsid w:val="00685815"/>
    <w:rsid w:val="00685B21"/>
    <w:rsid w:val="00685C95"/>
    <w:rsid w:val="00685FE0"/>
    <w:rsid w:val="0068637B"/>
    <w:rsid w:val="00686514"/>
    <w:rsid w:val="006866F9"/>
    <w:rsid w:val="0068691E"/>
    <w:rsid w:val="00686C5A"/>
    <w:rsid w:val="00686C83"/>
    <w:rsid w:val="00686EBC"/>
    <w:rsid w:val="006874A3"/>
    <w:rsid w:val="0068764A"/>
    <w:rsid w:val="00687A48"/>
    <w:rsid w:val="00687ACA"/>
    <w:rsid w:val="00687D78"/>
    <w:rsid w:val="00687DD5"/>
    <w:rsid w:val="00687EFD"/>
    <w:rsid w:val="00690160"/>
    <w:rsid w:val="00690176"/>
    <w:rsid w:val="00690253"/>
    <w:rsid w:val="00690450"/>
    <w:rsid w:val="00690517"/>
    <w:rsid w:val="006907C0"/>
    <w:rsid w:val="0069092E"/>
    <w:rsid w:val="006910E0"/>
    <w:rsid w:val="006911C0"/>
    <w:rsid w:val="0069130A"/>
    <w:rsid w:val="0069148F"/>
    <w:rsid w:val="0069161C"/>
    <w:rsid w:val="00691935"/>
    <w:rsid w:val="00691C01"/>
    <w:rsid w:val="00691C5C"/>
    <w:rsid w:val="00691D94"/>
    <w:rsid w:val="00691E1C"/>
    <w:rsid w:val="0069207B"/>
    <w:rsid w:val="00692142"/>
    <w:rsid w:val="0069215F"/>
    <w:rsid w:val="006921CA"/>
    <w:rsid w:val="00692637"/>
    <w:rsid w:val="006927CC"/>
    <w:rsid w:val="00692A3A"/>
    <w:rsid w:val="00692A59"/>
    <w:rsid w:val="00692B10"/>
    <w:rsid w:val="00692C6D"/>
    <w:rsid w:val="00692CF1"/>
    <w:rsid w:val="00692F67"/>
    <w:rsid w:val="00693015"/>
    <w:rsid w:val="006931CB"/>
    <w:rsid w:val="0069325B"/>
    <w:rsid w:val="00693578"/>
    <w:rsid w:val="006937ED"/>
    <w:rsid w:val="006939B4"/>
    <w:rsid w:val="00693A4B"/>
    <w:rsid w:val="00693BDC"/>
    <w:rsid w:val="00693BE3"/>
    <w:rsid w:val="00693BEF"/>
    <w:rsid w:val="00693C95"/>
    <w:rsid w:val="00693E70"/>
    <w:rsid w:val="006941C5"/>
    <w:rsid w:val="006944F1"/>
    <w:rsid w:val="006945B4"/>
    <w:rsid w:val="00694614"/>
    <w:rsid w:val="00694C5E"/>
    <w:rsid w:val="00694CBC"/>
    <w:rsid w:val="00694D0F"/>
    <w:rsid w:val="00694F76"/>
    <w:rsid w:val="00694F7A"/>
    <w:rsid w:val="00695362"/>
    <w:rsid w:val="00695400"/>
    <w:rsid w:val="0069568F"/>
    <w:rsid w:val="006956B2"/>
    <w:rsid w:val="0069587F"/>
    <w:rsid w:val="006958CD"/>
    <w:rsid w:val="006959AA"/>
    <w:rsid w:val="00695D0F"/>
    <w:rsid w:val="00695D75"/>
    <w:rsid w:val="00695F6D"/>
    <w:rsid w:val="0069605E"/>
    <w:rsid w:val="006960B0"/>
    <w:rsid w:val="006963A3"/>
    <w:rsid w:val="006969A9"/>
    <w:rsid w:val="006969B2"/>
    <w:rsid w:val="00696C57"/>
    <w:rsid w:val="00696C80"/>
    <w:rsid w:val="00696C99"/>
    <w:rsid w:val="00696D38"/>
    <w:rsid w:val="00697416"/>
    <w:rsid w:val="00697909"/>
    <w:rsid w:val="0069794F"/>
    <w:rsid w:val="00697A2A"/>
    <w:rsid w:val="00697F52"/>
    <w:rsid w:val="00697F8D"/>
    <w:rsid w:val="006A0017"/>
    <w:rsid w:val="006A00A8"/>
    <w:rsid w:val="006A02DB"/>
    <w:rsid w:val="006A053E"/>
    <w:rsid w:val="006A064F"/>
    <w:rsid w:val="006A088E"/>
    <w:rsid w:val="006A09B8"/>
    <w:rsid w:val="006A0AA4"/>
    <w:rsid w:val="006A0AFD"/>
    <w:rsid w:val="006A0BC4"/>
    <w:rsid w:val="006A0E5F"/>
    <w:rsid w:val="006A138A"/>
    <w:rsid w:val="006A15BC"/>
    <w:rsid w:val="006A1694"/>
    <w:rsid w:val="006A1D28"/>
    <w:rsid w:val="006A1D5C"/>
    <w:rsid w:val="006A2058"/>
    <w:rsid w:val="006A2591"/>
    <w:rsid w:val="006A26F8"/>
    <w:rsid w:val="006A29C4"/>
    <w:rsid w:val="006A2B09"/>
    <w:rsid w:val="006A2C3F"/>
    <w:rsid w:val="006A2F0B"/>
    <w:rsid w:val="006A30DB"/>
    <w:rsid w:val="006A399E"/>
    <w:rsid w:val="006A3A15"/>
    <w:rsid w:val="006A3AC8"/>
    <w:rsid w:val="006A3EC1"/>
    <w:rsid w:val="006A4402"/>
    <w:rsid w:val="006A44F9"/>
    <w:rsid w:val="006A44FC"/>
    <w:rsid w:val="006A462A"/>
    <w:rsid w:val="006A47CA"/>
    <w:rsid w:val="006A4A54"/>
    <w:rsid w:val="006A4AA7"/>
    <w:rsid w:val="006A4CA8"/>
    <w:rsid w:val="006A4CF9"/>
    <w:rsid w:val="006A533E"/>
    <w:rsid w:val="006A5436"/>
    <w:rsid w:val="006A552A"/>
    <w:rsid w:val="006A559B"/>
    <w:rsid w:val="006A57FA"/>
    <w:rsid w:val="006A5B83"/>
    <w:rsid w:val="006A5C47"/>
    <w:rsid w:val="006A5D6A"/>
    <w:rsid w:val="006A60A6"/>
    <w:rsid w:val="006A65D7"/>
    <w:rsid w:val="006A6BF9"/>
    <w:rsid w:val="006A6C1D"/>
    <w:rsid w:val="006A6D13"/>
    <w:rsid w:val="006A6F37"/>
    <w:rsid w:val="006A6FCC"/>
    <w:rsid w:val="006A6FEC"/>
    <w:rsid w:val="006A7454"/>
    <w:rsid w:val="006A75EC"/>
    <w:rsid w:val="006A7616"/>
    <w:rsid w:val="006A77CC"/>
    <w:rsid w:val="006A77F1"/>
    <w:rsid w:val="006A7841"/>
    <w:rsid w:val="006A7B14"/>
    <w:rsid w:val="006A7BF7"/>
    <w:rsid w:val="006B011F"/>
    <w:rsid w:val="006B0390"/>
    <w:rsid w:val="006B045A"/>
    <w:rsid w:val="006B065F"/>
    <w:rsid w:val="006B073E"/>
    <w:rsid w:val="006B08EC"/>
    <w:rsid w:val="006B096C"/>
    <w:rsid w:val="006B0A13"/>
    <w:rsid w:val="006B0D8B"/>
    <w:rsid w:val="006B1454"/>
    <w:rsid w:val="006B175D"/>
    <w:rsid w:val="006B1897"/>
    <w:rsid w:val="006B1AE3"/>
    <w:rsid w:val="006B1DA9"/>
    <w:rsid w:val="006B2436"/>
    <w:rsid w:val="006B2815"/>
    <w:rsid w:val="006B282B"/>
    <w:rsid w:val="006B2894"/>
    <w:rsid w:val="006B2A71"/>
    <w:rsid w:val="006B2AE4"/>
    <w:rsid w:val="006B2B35"/>
    <w:rsid w:val="006B2B74"/>
    <w:rsid w:val="006B2CA6"/>
    <w:rsid w:val="006B2DE3"/>
    <w:rsid w:val="006B2E8D"/>
    <w:rsid w:val="006B2EB2"/>
    <w:rsid w:val="006B2EFB"/>
    <w:rsid w:val="006B2F06"/>
    <w:rsid w:val="006B2F56"/>
    <w:rsid w:val="006B3299"/>
    <w:rsid w:val="006B32AD"/>
    <w:rsid w:val="006B334E"/>
    <w:rsid w:val="006B3419"/>
    <w:rsid w:val="006B374B"/>
    <w:rsid w:val="006B38AE"/>
    <w:rsid w:val="006B3D9C"/>
    <w:rsid w:val="006B3DB7"/>
    <w:rsid w:val="006B4000"/>
    <w:rsid w:val="006B4003"/>
    <w:rsid w:val="006B447B"/>
    <w:rsid w:val="006B472E"/>
    <w:rsid w:val="006B47E1"/>
    <w:rsid w:val="006B4929"/>
    <w:rsid w:val="006B4AC6"/>
    <w:rsid w:val="006B4C24"/>
    <w:rsid w:val="006B4EDE"/>
    <w:rsid w:val="006B52D5"/>
    <w:rsid w:val="006B5422"/>
    <w:rsid w:val="006B54CB"/>
    <w:rsid w:val="006B569D"/>
    <w:rsid w:val="006B5BC4"/>
    <w:rsid w:val="006B6297"/>
    <w:rsid w:val="006B62FA"/>
    <w:rsid w:val="006B643D"/>
    <w:rsid w:val="006B6834"/>
    <w:rsid w:val="006B696C"/>
    <w:rsid w:val="006B6A83"/>
    <w:rsid w:val="006B7104"/>
    <w:rsid w:val="006B713E"/>
    <w:rsid w:val="006B714B"/>
    <w:rsid w:val="006B7252"/>
    <w:rsid w:val="006B74A1"/>
    <w:rsid w:val="006B78B0"/>
    <w:rsid w:val="006B7965"/>
    <w:rsid w:val="006B7AE6"/>
    <w:rsid w:val="006B7C61"/>
    <w:rsid w:val="006B7CD9"/>
    <w:rsid w:val="006C055C"/>
    <w:rsid w:val="006C06F0"/>
    <w:rsid w:val="006C0E17"/>
    <w:rsid w:val="006C0EBD"/>
    <w:rsid w:val="006C0F11"/>
    <w:rsid w:val="006C118B"/>
    <w:rsid w:val="006C19D8"/>
    <w:rsid w:val="006C1ECA"/>
    <w:rsid w:val="006C2103"/>
    <w:rsid w:val="006C240B"/>
    <w:rsid w:val="006C2959"/>
    <w:rsid w:val="006C2CA8"/>
    <w:rsid w:val="006C2E8F"/>
    <w:rsid w:val="006C2F6F"/>
    <w:rsid w:val="006C30E3"/>
    <w:rsid w:val="006C32E7"/>
    <w:rsid w:val="006C3450"/>
    <w:rsid w:val="006C345A"/>
    <w:rsid w:val="006C3488"/>
    <w:rsid w:val="006C3554"/>
    <w:rsid w:val="006C3798"/>
    <w:rsid w:val="006C37B0"/>
    <w:rsid w:val="006C3D0F"/>
    <w:rsid w:val="006C42A2"/>
    <w:rsid w:val="006C4370"/>
    <w:rsid w:val="006C4574"/>
    <w:rsid w:val="006C4614"/>
    <w:rsid w:val="006C4700"/>
    <w:rsid w:val="006C4790"/>
    <w:rsid w:val="006C4975"/>
    <w:rsid w:val="006C4A51"/>
    <w:rsid w:val="006C4B3C"/>
    <w:rsid w:val="006C4B5B"/>
    <w:rsid w:val="006C4BB3"/>
    <w:rsid w:val="006C4DE9"/>
    <w:rsid w:val="006C4DF3"/>
    <w:rsid w:val="006C5159"/>
    <w:rsid w:val="006C53C4"/>
    <w:rsid w:val="006C55DB"/>
    <w:rsid w:val="006C58B3"/>
    <w:rsid w:val="006C5CCE"/>
    <w:rsid w:val="006C62D5"/>
    <w:rsid w:val="006C649F"/>
    <w:rsid w:val="006C64E5"/>
    <w:rsid w:val="006C6AC9"/>
    <w:rsid w:val="006C6BCC"/>
    <w:rsid w:val="006C6C7C"/>
    <w:rsid w:val="006C6FCC"/>
    <w:rsid w:val="006C70DA"/>
    <w:rsid w:val="006C71A8"/>
    <w:rsid w:val="006C71AC"/>
    <w:rsid w:val="006C724B"/>
    <w:rsid w:val="006C7529"/>
    <w:rsid w:val="006C7724"/>
    <w:rsid w:val="006C7CFA"/>
    <w:rsid w:val="006D0586"/>
    <w:rsid w:val="006D0863"/>
    <w:rsid w:val="006D0961"/>
    <w:rsid w:val="006D1417"/>
    <w:rsid w:val="006D17A9"/>
    <w:rsid w:val="006D18B1"/>
    <w:rsid w:val="006D18E6"/>
    <w:rsid w:val="006D192C"/>
    <w:rsid w:val="006D1C9F"/>
    <w:rsid w:val="006D20D6"/>
    <w:rsid w:val="006D24FF"/>
    <w:rsid w:val="006D2614"/>
    <w:rsid w:val="006D26BF"/>
    <w:rsid w:val="006D2808"/>
    <w:rsid w:val="006D29E4"/>
    <w:rsid w:val="006D2C3F"/>
    <w:rsid w:val="006D2D47"/>
    <w:rsid w:val="006D2DA2"/>
    <w:rsid w:val="006D2DE8"/>
    <w:rsid w:val="006D30DB"/>
    <w:rsid w:val="006D3100"/>
    <w:rsid w:val="006D34E5"/>
    <w:rsid w:val="006D3561"/>
    <w:rsid w:val="006D3A57"/>
    <w:rsid w:val="006D3ED8"/>
    <w:rsid w:val="006D3FBF"/>
    <w:rsid w:val="006D3FD3"/>
    <w:rsid w:val="006D4031"/>
    <w:rsid w:val="006D4189"/>
    <w:rsid w:val="006D4882"/>
    <w:rsid w:val="006D4BA7"/>
    <w:rsid w:val="006D53F2"/>
    <w:rsid w:val="006D59A4"/>
    <w:rsid w:val="006D5DF4"/>
    <w:rsid w:val="006D6166"/>
    <w:rsid w:val="006D620C"/>
    <w:rsid w:val="006D622B"/>
    <w:rsid w:val="006D63F1"/>
    <w:rsid w:val="006D64C9"/>
    <w:rsid w:val="006D6A3C"/>
    <w:rsid w:val="006D6C58"/>
    <w:rsid w:val="006D7166"/>
    <w:rsid w:val="006D71C6"/>
    <w:rsid w:val="006D758E"/>
    <w:rsid w:val="006D786B"/>
    <w:rsid w:val="006D7B49"/>
    <w:rsid w:val="006D7CAE"/>
    <w:rsid w:val="006E0152"/>
    <w:rsid w:val="006E03F6"/>
    <w:rsid w:val="006E0520"/>
    <w:rsid w:val="006E0776"/>
    <w:rsid w:val="006E092E"/>
    <w:rsid w:val="006E0C26"/>
    <w:rsid w:val="006E0EBF"/>
    <w:rsid w:val="006E0EC0"/>
    <w:rsid w:val="006E10E6"/>
    <w:rsid w:val="006E11B1"/>
    <w:rsid w:val="006E1525"/>
    <w:rsid w:val="006E15D5"/>
    <w:rsid w:val="006E1871"/>
    <w:rsid w:val="006E18BF"/>
    <w:rsid w:val="006E1ACB"/>
    <w:rsid w:val="006E1B20"/>
    <w:rsid w:val="006E1D02"/>
    <w:rsid w:val="006E2080"/>
    <w:rsid w:val="006E21E8"/>
    <w:rsid w:val="006E23FA"/>
    <w:rsid w:val="006E269C"/>
    <w:rsid w:val="006E2821"/>
    <w:rsid w:val="006E2871"/>
    <w:rsid w:val="006E2F71"/>
    <w:rsid w:val="006E301C"/>
    <w:rsid w:val="006E30D6"/>
    <w:rsid w:val="006E3430"/>
    <w:rsid w:val="006E3474"/>
    <w:rsid w:val="006E3861"/>
    <w:rsid w:val="006E3CCA"/>
    <w:rsid w:val="006E3F34"/>
    <w:rsid w:val="006E447C"/>
    <w:rsid w:val="006E46F1"/>
    <w:rsid w:val="006E4760"/>
    <w:rsid w:val="006E47F8"/>
    <w:rsid w:val="006E4C27"/>
    <w:rsid w:val="006E4D0D"/>
    <w:rsid w:val="006E4DFD"/>
    <w:rsid w:val="006E4E64"/>
    <w:rsid w:val="006E4EEA"/>
    <w:rsid w:val="006E506F"/>
    <w:rsid w:val="006E52B3"/>
    <w:rsid w:val="006E5321"/>
    <w:rsid w:val="006E5457"/>
    <w:rsid w:val="006E557B"/>
    <w:rsid w:val="006E558D"/>
    <w:rsid w:val="006E55AA"/>
    <w:rsid w:val="006E5674"/>
    <w:rsid w:val="006E567E"/>
    <w:rsid w:val="006E5893"/>
    <w:rsid w:val="006E6476"/>
    <w:rsid w:val="006E6716"/>
    <w:rsid w:val="006E675A"/>
    <w:rsid w:val="006E6799"/>
    <w:rsid w:val="006E6C2F"/>
    <w:rsid w:val="006E6D5D"/>
    <w:rsid w:val="006E7295"/>
    <w:rsid w:val="006E770B"/>
    <w:rsid w:val="006E7AE1"/>
    <w:rsid w:val="006E7ECA"/>
    <w:rsid w:val="006F04E4"/>
    <w:rsid w:val="006F0613"/>
    <w:rsid w:val="006F07D0"/>
    <w:rsid w:val="006F0A12"/>
    <w:rsid w:val="006F0AB0"/>
    <w:rsid w:val="006F0ACB"/>
    <w:rsid w:val="006F0C06"/>
    <w:rsid w:val="006F0C92"/>
    <w:rsid w:val="006F10E7"/>
    <w:rsid w:val="006F126A"/>
    <w:rsid w:val="006F12CA"/>
    <w:rsid w:val="006F12E7"/>
    <w:rsid w:val="006F1352"/>
    <w:rsid w:val="006F14E6"/>
    <w:rsid w:val="006F17BD"/>
    <w:rsid w:val="006F1C69"/>
    <w:rsid w:val="006F1DF6"/>
    <w:rsid w:val="006F1FEB"/>
    <w:rsid w:val="006F2023"/>
    <w:rsid w:val="006F2063"/>
    <w:rsid w:val="006F2171"/>
    <w:rsid w:val="006F22A2"/>
    <w:rsid w:val="006F233F"/>
    <w:rsid w:val="006F26C2"/>
    <w:rsid w:val="006F280E"/>
    <w:rsid w:val="006F28A4"/>
    <w:rsid w:val="006F2907"/>
    <w:rsid w:val="006F2AB0"/>
    <w:rsid w:val="006F2AE7"/>
    <w:rsid w:val="006F2D49"/>
    <w:rsid w:val="006F3061"/>
    <w:rsid w:val="006F31B9"/>
    <w:rsid w:val="006F3242"/>
    <w:rsid w:val="006F32A8"/>
    <w:rsid w:val="006F3425"/>
    <w:rsid w:val="006F3677"/>
    <w:rsid w:val="006F36FD"/>
    <w:rsid w:val="006F3707"/>
    <w:rsid w:val="006F37E9"/>
    <w:rsid w:val="006F39CB"/>
    <w:rsid w:val="006F39EA"/>
    <w:rsid w:val="006F3CC4"/>
    <w:rsid w:val="006F3DE3"/>
    <w:rsid w:val="006F3E0A"/>
    <w:rsid w:val="006F4071"/>
    <w:rsid w:val="006F40F0"/>
    <w:rsid w:val="006F47B1"/>
    <w:rsid w:val="006F47FE"/>
    <w:rsid w:val="006F48C6"/>
    <w:rsid w:val="006F4C6A"/>
    <w:rsid w:val="006F4F55"/>
    <w:rsid w:val="006F5118"/>
    <w:rsid w:val="006F54CB"/>
    <w:rsid w:val="006F56F2"/>
    <w:rsid w:val="006F5744"/>
    <w:rsid w:val="006F5D98"/>
    <w:rsid w:val="006F63CB"/>
    <w:rsid w:val="006F66E1"/>
    <w:rsid w:val="006F695C"/>
    <w:rsid w:val="006F6AFD"/>
    <w:rsid w:val="006F6BF3"/>
    <w:rsid w:val="006F6D0B"/>
    <w:rsid w:val="006F6FB3"/>
    <w:rsid w:val="006F72F2"/>
    <w:rsid w:val="006F770C"/>
    <w:rsid w:val="006F7DA0"/>
    <w:rsid w:val="0070005C"/>
    <w:rsid w:val="00700088"/>
    <w:rsid w:val="007001BE"/>
    <w:rsid w:val="00700763"/>
    <w:rsid w:val="00700796"/>
    <w:rsid w:val="007007D3"/>
    <w:rsid w:val="007009DF"/>
    <w:rsid w:val="00700A11"/>
    <w:rsid w:val="00701414"/>
    <w:rsid w:val="007015E7"/>
    <w:rsid w:val="007016F7"/>
    <w:rsid w:val="00701874"/>
    <w:rsid w:val="00701A7A"/>
    <w:rsid w:val="00701BCD"/>
    <w:rsid w:val="00702214"/>
    <w:rsid w:val="007022CE"/>
    <w:rsid w:val="00702302"/>
    <w:rsid w:val="007025E6"/>
    <w:rsid w:val="007025ED"/>
    <w:rsid w:val="00702964"/>
    <w:rsid w:val="00702BE0"/>
    <w:rsid w:val="00702D8D"/>
    <w:rsid w:val="007030BD"/>
    <w:rsid w:val="007031A7"/>
    <w:rsid w:val="007033FB"/>
    <w:rsid w:val="00703445"/>
    <w:rsid w:val="007034A2"/>
    <w:rsid w:val="007035ED"/>
    <w:rsid w:val="00703671"/>
    <w:rsid w:val="007036C0"/>
    <w:rsid w:val="007036D6"/>
    <w:rsid w:val="007039B4"/>
    <w:rsid w:val="00703BEC"/>
    <w:rsid w:val="00703D86"/>
    <w:rsid w:val="00703F13"/>
    <w:rsid w:val="0070414E"/>
    <w:rsid w:val="0070416E"/>
    <w:rsid w:val="007044B0"/>
    <w:rsid w:val="007048A4"/>
    <w:rsid w:val="00704C7A"/>
    <w:rsid w:val="0070523B"/>
    <w:rsid w:val="007052D6"/>
    <w:rsid w:val="0070549A"/>
    <w:rsid w:val="00705558"/>
    <w:rsid w:val="00705629"/>
    <w:rsid w:val="00705727"/>
    <w:rsid w:val="00705965"/>
    <w:rsid w:val="0070596C"/>
    <w:rsid w:val="00705A68"/>
    <w:rsid w:val="00705C87"/>
    <w:rsid w:val="00705CDF"/>
    <w:rsid w:val="00705DF0"/>
    <w:rsid w:val="0070664F"/>
    <w:rsid w:val="00706838"/>
    <w:rsid w:val="007068E3"/>
    <w:rsid w:val="00706987"/>
    <w:rsid w:val="0070716E"/>
    <w:rsid w:val="007075E1"/>
    <w:rsid w:val="007076A9"/>
    <w:rsid w:val="00707D05"/>
    <w:rsid w:val="00707D98"/>
    <w:rsid w:val="00707DAC"/>
    <w:rsid w:val="00707E58"/>
    <w:rsid w:val="00707FBA"/>
    <w:rsid w:val="007102B6"/>
    <w:rsid w:val="00710385"/>
    <w:rsid w:val="007103F5"/>
    <w:rsid w:val="00710441"/>
    <w:rsid w:val="007107F3"/>
    <w:rsid w:val="00710CF4"/>
    <w:rsid w:val="00710DD4"/>
    <w:rsid w:val="00710DE1"/>
    <w:rsid w:val="00710E00"/>
    <w:rsid w:val="00711383"/>
    <w:rsid w:val="007119EB"/>
    <w:rsid w:val="00711D44"/>
    <w:rsid w:val="00711D56"/>
    <w:rsid w:val="0071229E"/>
    <w:rsid w:val="007125E6"/>
    <w:rsid w:val="0071293F"/>
    <w:rsid w:val="00712BD2"/>
    <w:rsid w:val="00712C63"/>
    <w:rsid w:val="007136F9"/>
    <w:rsid w:val="00713718"/>
    <w:rsid w:val="00713C78"/>
    <w:rsid w:val="00713E58"/>
    <w:rsid w:val="00713FF0"/>
    <w:rsid w:val="0071440A"/>
    <w:rsid w:val="00714762"/>
    <w:rsid w:val="0071482E"/>
    <w:rsid w:val="00714C3A"/>
    <w:rsid w:val="00714C7B"/>
    <w:rsid w:val="007150C0"/>
    <w:rsid w:val="0071539C"/>
    <w:rsid w:val="00715428"/>
    <w:rsid w:val="007155EF"/>
    <w:rsid w:val="0071567E"/>
    <w:rsid w:val="007156FD"/>
    <w:rsid w:val="00715CB5"/>
    <w:rsid w:val="0071623E"/>
    <w:rsid w:val="00716649"/>
    <w:rsid w:val="0071664F"/>
    <w:rsid w:val="00716C29"/>
    <w:rsid w:val="00716C98"/>
    <w:rsid w:val="00716CE6"/>
    <w:rsid w:val="00716CFB"/>
    <w:rsid w:val="00716FFB"/>
    <w:rsid w:val="007170CC"/>
    <w:rsid w:val="007170ED"/>
    <w:rsid w:val="00717189"/>
    <w:rsid w:val="0071757C"/>
    <w:rsid w:val="00717B3A"/>
    <w:rsid w:val="00717FE6"/>
    <w:rsid w:val="007202C1"/>
    <w:rsid w:val="007204B0"/>
    <w:rsid w:val="0072090E"/>
    <w:rsid w:val="00720BFB"/>
    <w:rsid w:val="00720E51"/>
    <w:rsid w:val="00720F25"/>
    <w:rsid w:val="00720F5A"/>
    <w:rsid w:val="00720FA0"/>
    <w:rsid w:val="007210F8"/>
    <w:rsid w:val="00721681"/>
    <w:rsid w:val="0072184D"/>
    <w:rsid w:val="00721AE4"/>
    <w:rsid w:val="00721C7D"/>
    <w:rsid w:val="00721CB7"/>
    <w:rsid w:val="00721D0F"/>
    <w:rsid w:val="00721F34"/>
    <w:rsid w:val="0072228A"/>
    <w:rsid w:val="007222B7"/>
    <w:rsid w:val="007224CC"/>
    <w:rsid w:val="0072253F"/>
    <w:rsid w:val="00722924"/>
    <w:rsid w:val="00722A87"/>
    <w:rsid w:val="00722AC0"/>
    <w:rsid w:val="00722B23"/>
    <w:rsid w:val="00722CD0"/>
    <w:rsid w:val="00722D33"/>
    <w:rsid w:val="00722D52"/>
    <w:rsid w:val="00722E6E"/>
    <w:rsid w:val="00722F6E"/>
    <w:rsid w:val="0072302D"/>
    <w:rsid w:val="00723143"/>
    <w:rsid w:val="007231F7"/>
    <w:rsid w:val="007232D9"/>
    <w:rsid w:val="007232DE"/>
    <w:rsid w:val="007232FE"/>
    <w:rsid w:val="007233D7"/>
    <w:rsid w:val="00723554"/>
    <w:rsid w:val="0072355B"/>
    <w:rsid w:val="007238E2"/>
    <w:rsid w:val="00723950"/>
    <w:rsid w:val="007239F4"/>
    <w:rsid w:val="00724038"/>
    <w:rsid w:val="007244CA"/>
    <w:rsid w:val="007247DF"/>
    <w:rsid w:val="00724A8D"/>
    <w:rsid w:val="00724ADC"/>
    <w:rsid w:val="00724BBE"/>
    <w:rsid w:val="00724C82"/>
    <w:rsid w:val="00724F92"/>
    <w:rsid w:val="00725179"/>
    <w:rsid w:val="007256F5"/>
    <w:rsid w:val="0072579D"/>
    <w:rsid w:val="00725AD6"/>
    <w:rsid w:val="00725DDE"/>
    <w:rsid w:val="00725E10"/>
    <w:rsid w:val="00726233"/>
    <w:rsid w:val="00726239"/>
    <w:rsid w:val="00726248"/>
    <w:rsid w:val="0072659F"/>
    <w:rsid w:val="0072688F"/>
    <w:rsid w:val="00726A82"/>
    <w:rsid w:val="00726B7F"/>
    <w:rsid w:val="00726C6C"/>
    <w:rsid w:val="00726E8B"/>
    <w:rsid w:val="0072727C"/>
    <w:rsid w:val="00727FEA"/>
    <w:rsid w:val="0073004D"/>
    <w:rsid w:val="0073022A"/>
    <w:rsid w:val="007302D7"/>
    <w:rsid w:val="0073094C"/>
    <w:rsid w:val="0073095B"/>
    <w:rsid w:val="00730C25"/>
    <w:rsid w:val="00730F38"/>
    <w:rsid w:val="00730F54"/>
    <w:rsid w:val="00731287"/>
    <w:rsid w:val="007313C1"/>
    <w:rsid w:val="00731431"/>
    <w:rsid w:val="00731745"/>
    <w:rsid w:val="0073184F"/>
    <w:rsid w:val="007318A8"/>
    <w:rsid w:val="007318EC"/>
    <w:rsid w:val="0073199D"/>
    <w:rsid w:val="00731D3E"/>
    <w:rsid w:val="00732167"/>
    <w:rsid w:val="007323CD"/>
    <w:rsid w:val="007325F9"/>
    <w:rsid w:val="00732A29"/>
    <w:rsid w:val="0073357F"/>
    <w:rsid w:val="0073376B"/>
    <w:rsid w:val="00733FBB"/>
    <w:rsid w:val="00734475"/>
    <w:rsid w:val="007347E9"/>
    <w:rsid w:val="00734DD5"/>
    <w:rsid w:val="0073571B"/>
    <w:rsid w:val="007357E8"/>
    <w:rsid w:val="007358E9"/>
    <w:rsid w:val="00735DF4"/>
    <w:rsid w:val="0073612C"/>
    <w:rsid w:val="007362B7"/>
    <w:rsid w:val="0073650F"/>
    <w:rsid w:val="007365A3"/>
    <w:rsid w:val="00736AD7"/>
    <w:rsid w:val="00736B22"/>
    <w:rsid w:val="00736D76"/>
    <w:rsid w:val="00736FE6"/>
    <w:rsid w:val="0073721E"/>
    <w:rsid w:val="007373F0"/>
    <w:rsid w:val="00737402"/>
    <w:rsid w:val="0073795B"/>
    <w:rsid w:val="00737D9D"/>
    <w:rsid w:val="00737DCA"/>
    <w:rsid w:val="00740009"/>
    <w:rsid w:val="00740157"/>
    <w:rsid w:val="00740268"/>
    <w:rsid w:val="0074090C"/>
    <w:rsid w:val="00740AF4"/>
    <w:rsid w:val="00740E79"/>
    <w:rsid w:val="0074115A"/>
    <w:rsid w:val="007412BA"/>
    <w:rsid w:val="007414A8"/>
    <w:rsid w:val="00741683"/>
    <w:rsid w:val="0074190C"/>
    <w:rsid w:val="007419D9"/>
    <w:rsid w:val="00741B0E"/>
    <w:rsid w:val="00741D42"/>
    <w:rsid w:val="007420CC"/>
    <w:rsid w:val="00742165"/>
    <w:rsid w:val="00742593"/>
    <w:rsid w:val="00742741"/>
    <w:rsid w:val="00742829"/>
    <w:rsid w:val="00742A7C"/>
    <w:rsid w:val="00742BD7"/>
    <w:rsid w:val="00742CE8"/>
    <w:rsid w:val="00742EB8"/>
    <w:rsid w:val="007431A4"/>
    <w:rsid w:val="007434DD"/>
    <w:rsid w:val="00743618"/>
    <w:rsid w:val="00743A28"/>
    <w:rsid w:val="00743D25"/>
    <w:rsid w:val="00743DAD"/>
    <w:rsid w:val="00743E8D"/>
    <w:rsid w:val="00743EDD"/>
    <w:rsid w:val="00744036"/>
    <w:rsid w:val="00744048"/>
    <w:rsid w:val="007440ED"/>
    <w:rsid w:val="00744499"/>
    <w:rsid w:val="00744647"/>
    <w:rsid w:val="007447AA"/>
    <w:rsid w:val="00744852"/>
    <w:rsid w:val="0074491A"/>
    <w:rsid w:val="0074496A"/>
    <w:rsid w:val="00744C50"/>
    <w:rsid w:val="00744CDA"/>
    <w:rsid w:val="00744D83"/>
    <w:rsid w:val="00744E62"/>
    <w:rsid w:val="00745046"/>
    <w:rsid w:val="0074506B"/>
    <w:rsid w:val="00745101"/>
    <w:rsid w:val="00745176"/>
    <w:rsid w:val="00745381"/>
    <w:rsid w:val="007453E5"/>
    <w:rsid w:val="00745536"/>
    <w:rsid w:val="0074579A"/>
    <w:rsid w:val="00745AF9"/>
    <w:rsid w:val="00745B79"/>
    <w:rsid w:val="00745D94"/>
    <w:rsid w:val="00745F57"/>
    <w:rsid w:val="00746061"/>
    <w:rsid w:val="007466FA"/>
    <w:rsid w:val="00746824"/>
    <w:rsid w:val="0074694C"/>
    <w:rsid w:val="007469FD"/>
    <w:rsid w:val="00746C67"/>
    <w:rsid w:val="00746E61"/>
    <w:rsid w:val="00747160"/>
    <w:rsid w:val="0074731F"/>
    <w:rsid w:val="0074733A"/>
    <w:rsid w:val="007473F6"/>
    <w:rsid w:val="007475B1"/>
    <w:rsid w:val="00747619"/>
    <w:rsid w:val="007476EF"/>
    <w:rsid w:val="007477EC"/>
    <w:rsid w:val="00747AE7"/>
    <w:rsid w:val="00747FA3"/>
    <w:rsid w:val="007506D7"/>
    <w:rsid w:val="00750752"/>
    <w:rsid w:val="0075080A"/>
    <w:rsid w:val="00750963"/>
    <w:rsid w:val="00750C9C"/>
    <w:rsid w:val="00750CD6"/>
    <w:rsid w:val="00750CED"/>
    <w:rsid w:val="00750D40"/>
    <w:rsid w:val="00750D93"/>
    <w:rsid w:val="007510C7"/>
    <w:rsid w:val="007510CA"/>
    <w:rsid w:val="0075123F"/>
    <w:rsid w:val="007512CA"/>
    <w:rsid w:val="00751350"/>
    <w:rsid w:val="00751507"/>
    <w:rsid w:val="00751613"/>
    <w:rsid w:val="007517CD"/>
    <w:rsid w:val="007519CF"/>
    <w:rsid w:val="00751A2F"/>
    <w:rsid w:val="00751ABD"/>
    <w:rsid w:val="00751F4E"/>
    <w:rsid w:val="007522CF"/>
    <w:rsid w:val="007527AE"/>
    <w:rsid w:val="00752864"/>
    <w:rsid w:val="007528F2"/>
    <w:rsid w:val="007529A8"/>
    <w:rsid w:val="00752B23"/>
    <w:rsid w:val="00752EE8"/>
    <w:rsid w:val="00752F70"/>
    <w:rsid w:val="00753853"/>
    <w:rsid w:val="007538B7"/>
    <w:rsid w:val="00753947"/>
    <w:rsid w:val="00753B83"/>
    <w:rsid w:val="00754588"/>
    <w:rsid w:val="00754AE0"/>
    <w:rsid w:val="00754C6F"/>
    <w:rsid w:val="00754FA6"/>
    <w:rsid w:val="0075508C"/>
    <w:rsid w:val="007555FE"/>
    <w:rsid w:val="0075576F"/>
    <w:rsid w:val="00755982"/>
    <w:rsid w:val="00755AEA"/>
    <w:rsid w:val="00755EF1"/>
    <w:rsid w:val="00755F22"/>
    <w:rsid w:val="00756925"/>
    <w:rsid w:val="00756F53"/>
    <w:rsid w:val="0075713C"/>
    <w:rsid w:val="00757231"/>
    <w:rsid w:val="00757250"/>
    <w:rsid w:val="007573ED"/>
    <w:rsid w:val="007573FE"/>
    <w:rsid w:val="00757675"/>
    <w:rsid w:val="007576F4"/>
    <w:rsid w:val="007579A0"/>
    <w:rsid w:val="00757E21"/>
    <w:rsid w:val="00757F10"/>
    <w:rsid w:val="0076002B"/>
    <w:rsid w:val="007601DF"/>
    <w:rsid w:val="00760245"/>
    <w:rsid w:val="007602AD"/>
    <w:rsid w:val="007606D2"/>
    <w:rsid w:val="00760753"/>
    <w:rsid w:val="007608F0"/>
    <w:rsid w:val="007609F8"/>
    <w:rsid w:val="00760A57"/>
    <w:rsid w:val="00760B7F"/>
    <w:rsid w:val="00760C7D"/>
    <w:rsid w:val="00760E20"/>
    <w:rsid w:val="00760ED0"/>
    <w:rsid w:val="00760F98"/>
    <w:rsid w:val="0076138C"/>
    <w:rsid w:val="00761415"/>
    <w:rsid w:val="007614A2"/>
    <w:rsid w:val="00761659"/>
    <w:rsid w:val="0076191E"/>
    <w:rsid w:val="00761BB8"/>
    <w:rsid w:val="00761C9D"/>
    <w:rsid w:val="00762005"/>
    <w:rsid w:val="007620C0"/>
    <w:rsid w:val="00762288"/>
    <w:rsid w:val="007622ED"/>
    <w:rsid w:val="00762439"/>
    <w:rsid w:val="00762DBA"/>
    <w:rsid w:val="00763260"/>
    <w:rsid w:val="007632D3"/>
    <w:rsid w:val="007633C9"/>
    <w:rsid w:val="007638CE"/>
    <w:rsid w:val="00763935"/>
    <w:rsid w:val="00763A23"/>
    <w:rsid w:val="00763AAC"/>
    <w:rsid w:val="00763DD7"/>
    <w:rsid w:val="0076404C"/>
    <w:rsid w:val="007641EB"/>
    <w:rsid w:val="007645A6"/>
    <w:rsid w:val="0076478F"/>
    <w:rsid w:val="00764A3B"/>
    <w:rsid w:val="00764AFB"/>
    <w:rsid w:val="0076511E"/>
    <w:rsid w:val="007651AD"/>
    <w:rsid w:val="00765357"/>
    <w:rsid w:val="007653BC"/>
    <w:rsid w:val="00765646"/>
    <w:rsid w:val="0076565D"/>
    <w:rsid w:val="007656AD"/>
    <w:rsid w:val="007657AA"/>
    <w:rsid w:val="00765836"/>
    <w:rsid w:val="00765DD1"/>
    <w:rsid w:val="00765EAB"/>
    <w:rsid w:val="00766100"/>
    <w:rsid w:val="00766198"/>
    <w:rsid w:val="007661A1"/>
    <w:rsid w:val="007665BA"/>
    <w:rsid w:val="00766775"/>
    <w:rsid w:val="007667F1"/>
    <w:rsid w:val="007669DD"/>
    <w:rsid w:val="007671C5"/>
    <w:rsid w:val="0076721D"/>
    <w:rsid w:val="00767306"/>
    <w:rsid w:val="00767388"/>
    <w:rsid w:val="007673FA"/>
    <w:rsid w:val="00767733"/>
    <w:rsid w:val="0076775F"/>
    <w:rsid w:val="00767895"/>
    <w:rsid w:val="00767B37"/>
    <w:rsid w:val="00767B56"/>
    <w:rsid w:val="00767D11"/>
    <w:rsid w:val="00767E0C"/>
    <w:rsid w:val="00767E0E"/>
    <w:rsid w:val="00767E47"/>
    <w:rsid w:val="007700FC"/>
    <w:rsid w:val="00770203"/>
    <w:rsid w:val="007704D4"/>
    <w:rsid w:val="0077050F"/>
    <w:rsid w:val="00770766"/>
    <w:rsid w:val="00770784"/>
    <w:rsid w:val="00770D26"/>
    <w:rsid w:val="007710DE"/>
    <w:rsid w:val="007711E2"/>
    <w:rsid w:val="00771385"/>
    <w:rsid w:val="00771562"/>
    <w:rsid w:val="007719CE"/>
    <w:rsid w:val="00771A4D"/>
    <w:rsid w:val="00771A8A"/>
    <w:rsid w:val="00771AA3"/>
    <w:rsid w:val="00771AB8"/>
    <w:rsid w:val="00771C90"/>
    <w:rsid w:val="00771E9F"/>
    <w:rsid w:val="007724CC"/>
    <w:rsid w:val="00772538"/>
    <w:rsid w:val="0077253A"/>
    <w:rsid w:val="00772656"/>
    <w:rsid w:val="007727C9"/>
    <w:rsid w:val="007729E3"/>
    <w:rsid w:val="00772A54"/>
    <w:rsid w:val="00772B67"/>
    <w:rsid w:val="00772DCF"/>
    <w:rsid w:val="0077303B"/>
    <w:rsid w:val="007734A2"/>
    <w:rsid w:val="00773570"/>
    <w:rsid w:val="007739C5"/>
    <w:rsid w:val="00773AC4"/>
    <w:rsid w:val="00773BB6"/>
    <w:rsid w:val="00773F20"/>
    <w:rsid w:val="00774050"/>
    <w:rsid w:val="00774559"/>
    <w:rsid w:val="00774631"/>
    <w:rsid w:val="007746F2"/>
    <w:rsid w:val="0077493C"/>
    <w:rsid w:val="00774BE3"/>
    <w:rsid w:val="00775038"/>
    <w:rsid w:val="007753BA"/>
    <w:rsid w:val="007754AA"/>
    <w:rsid w:val="00775835"/>
    <w:rsid w:val="00775C29"/>
    <w:rsid w:val="007760F9"/>
    <w:rsid w:val="0077630F"/>
    <w:rsid w:val="0077643A"/>
    <w:rsid w:val="007766F3"/>
    <w:rsid w:val="00776A39"/>
    <w:rsid w:val="00776AF9"/>
    <w:rsid w:val="00776D4A"/>
    <w:rsid w:val="00776EDC"/>
    <w:rsid w:val="0077708C"/>
    <w:rsid w:val="007770B5"/>
    <w:rsid w:val="007770C5"/>
    <w:rsid w:val="007774FD"/>
    <w:rsid w:val="00777926"/>
    <w:rsid w:val="00777ABC"/>
    <w:rsid w:val="00780012"/>
    <w:rsid w:val="0078006D"/>
    <w:rsid w:val="007800B4"/>
    <w:rsid w:val="007801F2"/>
    <w:rsid w:val="00780211"/>
    <w:rsid w:val="0078031B"/>
    <w:rsid w:val="007804FF"/>
    <w:rsid w:val="007807C6"/>
    <w:rsid w:val="00780882"/>
    <w:rsid w:val="00780A60"/>
    <w:rsid w:val="00780A6F"/>
    <w:rsid w:val="00780E5A"/>
    <w:rsid w:val="00780E8A"/>
    <w:rsid w:val="00780F6D"/>
    <w:rsid w:val="00781213"/>
    <w:rsid w:val="0078154A"/>
    <w:rsid w:val="007816B1"/>
    <w:rsid w:val="00781760"/>
    <w:rsid w:val="00781766"/>
    <w:rsid w:val="0078177C"/>
    <w:rsid w:val="00781817"/>
    <w:rsid w:val="00781A70"/>
    <w:rsid w:val="00781D16"/>
    <w:rsid w:val="00782239"/>
    <w:rsid w:val="00782349"/>
    <w:rsid w:val="00782462"/>
    <w:rsid w:val="0078274B"/>
    <w:rsid w:val="007827A4"/>
    <w:rsid w:val="00783314"/>
    <w:rsid w:val="00783AF2"/>
    <w:rsid w:val="00783C82"/>
    <w:rsid w:val="00783C9E"/>
    <w:rsid w:val="00783F7B"/>
    <w:rsid w:val="00784191"/>
    <w:rsid w:val="007842CA"/>
    <w:rsid w:val="0078453B"/>
    <w:rsid w:val="00784566"/>
    <w:rsid w:val="007847C9"/>
    <w:rsid w:val="007848C1"/>
    <w:rsid w:val="0078491E"/>
    <w:rsid w:val="00784948"/>
    <w:rsid w:val="00784A69"/>
    <w:rsid w:val="00784A93"/>
    <w:rsid w:val="00784CA7"/>
    <w:rsid w:val="00784F81"/>
    <w:rsid w:val="00784F87"/>
    <w:rsid w:val="0078516F"/>
    <w:rsid w:val="007851CA"/>
    <w:rsid w:val="007851CE"/>
    <w:rsid w:val="00785378"/>
    <w:rsid w:val="007853E6"/>
    <w:rsid w:val="00785933"/>
    <w:rsid w:val="00785F95"/>
    <w:rsid w:val="00786247"/>
    <w:rsid w:val="00786B2E"/>
    <w:rsid w:val="00786B49"/>
    <w:rsid w:val="00786BFF"/>
    <w:rsid w:val="00786F95"/>
    <w:rsid w:val="0078733D"/>
    <w:rsid w:val="007875CD"/>
    <w:rsid w:val="00787606"/>
    <w:rsid w:val="00787917"/>
    <w:rsid w:val="00787A70"/>
    <w:rsid w:val="00787BF6"/>
    <w:rsid w:val="00787ED0"/>
    <w:rsid w:val="00790150"/>
    <w:rsid w:val="00790183"/>
    <w:rsid w:val="00790537"/>
    <w:rsid w:val="007905EF"/>
    <w:rsid w:val="007906C1"/>
    <w:rsid w:val="007909A5"/>
    <w:rsid w:val="007909AC"/>
    <w:rsid w:val="00790CD1"/>
    <w:rsid w:val="00790EB3"/>
    <w:rsid w:val="00790F58"/>
    <w:rsid w:val="007910D8"/>
    <w:rsid w:val="007911B1"/>
    <w:rsid w:val="0079188F"/>
    <w:rsid w:val="00791958"/>
    <w:rsid w:val="007919AE"/>
    <w:rsid w:val="00791A04"/>
    <w:rsid w:val="00791AE9"/>
    <w:rsid w:val="00791C4A"/>
    <w:rsid w:val="00792123"/>
    <w:rsid w:val="00792444"/>
    <w:rsid w:val="007924EB"/>
    <w:rsid w:val="007925DF"/>
    <w:rsid w:val="0079269E"/>
    <w:rsid w:val="007929F9"/>
    <w:rsid w:val="00792A68"/>
    <w:rsid w:val="00792D1D"/>
    <w:rsid w:val="00792E25"/>
    <w:rsid w:val="00793452"/>
    <w:rsid w:val="007934B8"/>
    <w:rsid w:val="00793881"/>
    <w:rsid w:val="0079389C"/>
    <w:rsid w:val="00793FC5"/>
    <w:rsid w:val="007942C6"/>
    <w:rsid w:val="00794310"/>
    <w:rsid w:val="00794639"/>
    <w:rsid w:val="00794EC3"/>
    <w:rsid w:val="00794FB2"/>
    <w:rsid w:val="00795031"/>
    <w:rsid w:val="007951FD"/>
    <w:rsid w:val="00795C1B"/>
    <w:rsid w:val="00795C2F"/>
    <w:rsid w:val="00795CDB"/>
    <w:rsid w:val="007965BA"/>
    <w:rsid w:val="00796A10"/>
    <w:rsid w:val="00796CA0"/>
    <w:rsid w:val="00796CA2"/>
    <w:rsid w:val="00796E6C"/>
    <w:rsid w:val="00796ED5"/>
    <w:rsid w:val="00797078"/>
    <w:rsid w:val="007972C5"/>
    <w:rsid w:val="0079734E"/>
    <w:rsid w:val="007976B9"/>
    <w:rsid w:val="00797A77"/>
    <w:rsid w:val="00797BB8"/>
    <w:rsid w:val="00797C4D"/>
    <w:rsid w:val="00797EFC"/>
    <w:rsid w:val="007A021C"/>
    <w:rsid w:val="007A0D7C"/>
    <w:rsid w:val="007A0E47"/>
    <w:rsid w:val="007A1055"/>
    <w:rsid w:val="007A1320"/>
    <w:rsid w:val="007A13CC"/>
    <w:rsid w:val="007A19FE"/>
    <w:rsid w:val="007A207E"/>
    <w:rsid w:val="007A263D"/>
    <w:rsid w:val="007A2C74"/>
    <w:rsid w:val="007A2D00"/>
    <w:rsid w:val="007A2EDF"/>
    <w:rsid w:val="007A2F4E"/>
    <w:rsid w:val="007A30C6"/>
    <w:rsid w:val="007A359D"/>
    <w:rsid w:val="007A3B4D"/>
    <w:rsid w:val="007A3C91"/>
    <w:rsid w:val="007A3DE7"/>
    <w:rsid w:val="007A3E01"/>
    <w:rsid w:val="007A3FFE"/>
    <w:rsid w:val="007A412E"/>
    <w:rsid w:val="007A4457"/>
    <w:rsid w:val="007A4966"/>
    <w:rsid w:val="007A4C63"/>
    <w:rsid w:val="007A4E0F"/>
    <w:rsid w:val="007A4F66"/>
    <w:rsid w:val="007A51EA"/>
    <w:rsid w:val="007A526C"/>
    <w:rsid w:val="007A52E2"/>
    <w:rsid w:val="007A53CC"/>
    <w:rsid w:val="007A55A9"/>
    <w:rsid w:val="007A55EE"/>
    <w:rsid w:val="007A5814"/>
    <w:rsid w:val="007A5B98"/>
    <w:rsid w:val="007A5D0E"/>
    <w:rsid w:val="007A5D5C"/>
    <w:rsid w:val="007A5DB7"/>
    <w:rsid w:val="007A608B"/>
    <w:rsid w:val="007A62BE"/>
    <w:rsid w:val="007A636E"/>
    <w:rsid w:val="007A64BC"/>
    <w:rsid w:val="007A679B"/>
    <w:rsid w:val="007A683D"/>
    <w:rsid w:val="007A69A1"/>
    <w:rsid w:val="007A6B7C"/>
    <w:rsid w:val="007A6F42"/>
    <w:rsid w:val="007A70D8"/>
    <w:rsid w:val="007A721F"/>
    <w:rsid w:val="007A72D9"/>
    <w:rsid w:val="007A74E7"/>
    <w:rsid w:val="007A7562"/>
    <w:rsid w:val="007A75AD"/>
    <w:rsid w:val="007A7AFE"/>
    <w:rsid w:val="007A7E5F"/>
    <w:rsid w:val="007A7EAD"/>
    <w:rsid w:val="007B014C"/>
    <w:rsid w:val="007B0378"/>
    <w:rsid w:val="007B0573"/>
    <w:rsid w:val="007B0733"/>
    <w:rsid w:val="007B0843"/>
    <w:rsid w:val="007B090F"/>
    <w:rsid w:val="007B0AEF"/>
    <w:rsid w:val="007B0BF6"/>
    <w:rsid w:val="007B0E55"/>
    <w:rsid w:val="007B1027"/>
    <w:rsid w:val="007B119D"/>
    <w:rsid w:val="007B1489"/>
    <w:rsid w:val="007B183A"/>
    <w:rsid w:val="007B1C9A"/>
    <w:rsid w:val="007B1D44"/>
    <w:rsid w:val="007B1E29"/>
    <w:rsid w:val="007B1EC2"/>
    <w:rsid w:val="007B1F09"/>
    <w:rsid w:val="007B207F"/>
    <w:rsid w:val="007B246D"/>
    <w:rsid w:val="007B261F"/>
    <w:rsid w:val="007B27A7"/>
    <w:rsid w:val="007B2859"/>
    <w:rsid w:val="007B290A"/>
    <w:rsid w:val="007B31F1"/>
    <w:rsid w:val="007B3522"/>
    <w:rsid w:val="007B3592"/>
    <w:rsid w:val="007B35D6"/>
    <w:rsid w:val="007B3B2B"/>
    <w:rsid w:val="007B3CAB"/>
    <w:rsid w:val="007B40AF"/>
    <w:rsid w:val="007B414A"/>
    <w:rsid w:val="007B4604"/>
    <w:rsid w:val="007B48A8"/>
    <w:rsid w:val="007B4A60"/>
    <w:rsid w:val="007B5076"/>
    <w:rsid w:val="007B5112"/>
    <w:rsid w:val="007B516A"/>
    <w:rsid w:val="007B51BB"/>
    <w:rsid w:val="007B51C2"/>
    <w:rsid w:val="007B54F1"/>
    <w:rsid w:val="007B599C"/>
    <w:rsid w:val="007B5D14"/>
    <w:rsid w:val="007B5DD4"/>
    <w:rsid w:val="007B5F00"/>
    <w:rsid w:val="007B5F4E"/>
    <w:rsid w:val="007B617C"/>
    <w:rsid w:val="007B63DA"/>
    <w:rsid w:val="007B65CD"/>
    <w:rsid w:val="007B67C2"/>
    <w:rsid w:val="007B67E1"/>
    <w:rsid w:val="007B6A8D"/>
    <w:rsid w:val="007B6B3F"/>
    <w:rsid w:val="007B6BD5"/>
    <w:rsid w:val="007B6DE9"/>
    <w:rsid w:val="007B6ECF"/>
    <w:rsid w:val="007B6FFC"/>
    <w:rsid w:val="007B7521"/>
    <w:rsid w:val="007B7555"/>
    <w:rsid w:val="007B7669"/>
    <w:rsid w:val="007B772E"/>
    <w:rsid w:val="007B7BC4"/>
    <w:rsid w:val="007B7DB0"/>
    <w:rsid w:val="007B7EAE"/>
    <w:rsid w:val="007B7F8B"/>
    <w:rsid w:val="007C06B1"/>
    <w:rsid w:val="007C090E"/>
    <w:rsid w:val="007C09D2"/>
    <w:rsid w:val="007C0C18"/>
    <w:rsid w:val="007C0EC7"/>
    <w:rsid w:val="007C129F"/>
    <w:rsid w:val="007C1451"/>
    <w:rsid w:val="007C16EC"/>
    <w:rsid w:val="007C1879"/>
    <w:rsid w:val="007C1A67"/>
    <w:rsid w:val="007C1F93"/>
    <w:rsid w:val="007C213B"/>
    <w:rsid w:val="007C2181"/>
    <w:rsid w:val="007C22BD"/>
    <w:rsid w:val="007C25C3"/>
    <w:rsid w:val="007C26D6"/>
    <w:rsid w:val="007C28A5"/>
    <w:rsid w:val="007C2B5A"/>
    <w:rsid w:val="007C2C25"/>
    <w:rsid w:val="007C2E83"/>
    <w:rsid w:val="007C3829"/>
    <w:rsid w:val="007C3C83"/>
    <w:rsid w:val="007C3CBF"/>
    <w:rsid w:val="007C3DB3"/>
    <w:rsid w:val="007C427A"/>
    <w:rsid w:val="007C43D1"/>
    <w:rsid w:val="007C4578"/>
    <w:rsid w:val="007C47DC"/>
    <w:rsid w:val="007C47E0"/>
    <w:rsid w:val="007C497D"/>
    <w:rsid w:val="007C4AD1"/>
    <w:rsid w:val="007C4C2E"/>
    <w:rsid w:val="007C4CC0"/>
    <w:rsid w:val="007C4E99"/>
    <w:rsid w:val="007C4F52"/>
    <w:rsid w:val="007C5050"/>
    <w:rsid w:val="007C52DF"/>
    <w:rsid w:val="007C53D4"/>
    <w:rsid w:val="007C571F"/>
    <w:rsid w:val="007C5B5B"/>
    <w:rsid w:val="007C5E92"/>
    <w:rsid w:val="007C5F04"/>
    <w:rsid w:val="007C5FBB"/>
    <w:rsid w:val="007C6118"/>
    <w:rsid w:val="007C6144"/>
    <w:rsid w:val="007C629D"/>
    <w:rsid w:val="007C62C0"/>
    <w:rsid w:val="007C6725"/>
    <w:rsid w:val="007C6768"/>
    <w:rsid w:val="007C6844"/>
    <w:rsid w:val="007C6A19"/>
    <w:rsid w:val="007C6B6F"/>
    <w:rsid w:val="007C6BB5"/>
    <w:rsid w:val="007C6DDB"/>
    <w:rsid w:val="007C6EEB"/>
    <w:rsid w:val="007C6F9F"/>
    <w:rsid w:val="007C70F5"/>
    <w:rsid w:val="007C716D"/>
    <w:rsid w:val="007C71AB"/>
    <w:rsid w:val="007C72EA"/>
    <w:rsid w:val="007C746B"/>
    <w:rsid w:val="007C7733"/>
    <w:rsid w:val="007C77BB"/>
    <w:rsid w:val="007C7A42"/>
    <w:rsid w:val="007C7EED"/>
    <w:rsid w:val="007C7F43"/>
    <w:rsid w:val="007D043C"/>
    <w:rsid w:val="007D06F4"/>
    <w:rsid w:val="007D0737"/>
    <w:rsid w:val="007D079B"/>
    <w:rsid w:val="007D07FB"/>
    <w:rsid w:val="007D0A18"/>
    <w:rsid w:val="007D0B53"/>
    <w:rsid w:val="007D0D7D"/>
    <w:rsid w:val="007D14AA"/>
    <w:rsid w:val="007D16F4"/>
    <w:rsid w:val="007D188D"/>
    <w:rsid w:val="007D1CB3"/>
    <w:rsid w:val="007D1D7A"/>
    <w:rsid w:val="007D1DB7"/>
    <w:rsid w:val="007D2068"/>
    <w:rsid w:val="007D2389"/>
    <w:rsid w:val="007D2455"/>
    <w:rsid w:val="007D26E5"/>
    <w:rsid w:val="007D282C"/>
    <w:rsid w:val="007D29FA"/>
    <w:rsid w:val="007D2B8E"/>
    <w:rsid w:val="007D2DA8"/>
    <w:rsid w:val="007D300E"/>
    <w:rsid w:val="007D3339"/>
    <w:rsid w:val="007D337B"/>
    <w:rsid w:val="007D343D"/>
    <w:rsid w:val="007D3771"/>
    <w:rsid w:val="007D37E0"/>
    <w:rsid w:val="007D3CE9"/>
    <w:rsid w:val="007D3DA1"/>
    <w:rsid w:val="007D3DC9"/>
    <w:rsid w:val="007D4569"/>
    <w:rsid w:val="007D4E60"/>
    <w:rsid w:val="007D5006"/>
    <w:rsid w:val="007D50F6"/>
    <w:rsid w:val="007D5112"/>
    <w:rsid w:val="007D51D7"/>
    <w:rsid w:val="007D51D9"/>
    <w:rsid w:val="007D55AF"/>
    <w:rsid w:val="007D58A1"/>
    <w:rsid w:val="007D5A57"/>
    <w:rsid w:val="007D5DF3"/>
    <w:rsid w:val="007D5E4C"/>
    <w:rsid w:val="007D62E4"/>
    <w:rsid w:val="007D6389"/>
    <w:rsid w:val="007D649D"/>
    <w:rsid w:val="007D6526"/>
    <w:rsid w:val="007D65B5"/>
    <w:rsid w:val="007D65C6"/>
    <w:rsid w:val="007D6671"/>
    <w:rsid w:val="007D68F2"/>
    <w:rsid w:val="007D6AA0"/>
    <w:rsid w:val="007D6AE9"/>
    <w:rsid w:val="007D6B7F"/>
    <w:rsid w:val="007D78F3"/>
    <w:rsid w:val="007D7964"/>
    <w:rsid w:val="007D7A47"/>
    <w:rsid w:val="007D7AC2"/>
    <w:rsid w:val="007D7B29"/>
    <w:rsid w:val="007D7B44"/>
    <w:rsid w:val="007E0075"/>
    <w:rsid w:val="007E0172"/>
    <w:rsid w:val="007E034B"/>
    <w:rsid w:val="007E0510"/>
    <w:rsid w:val="007E07E4"/>
    <w:rsid w:val="007E09FC"/>
    <w:rsid w:val="007E0BE6"/>
    <w:rsid w:val="007E0C77"/>
    <w:rsid w:val="007E0CAD"/>
    <w:rsid w:val="007E0E7C"/>
    <w:rsid w:val="007E105F"/>
    <w:rsid w:val="007E12C5"/>
    <w:rsid w:val="007E138C"/>
    <w:rsid w:val="007E14F8"/>
    <w:rsid w:val="007E1525"/>
    <w:rsid w:val="007E1560"/>
    <w:rsid w:val="007E15DC"/>
    <w:rsid w:val="007E16FE"/>
    <w:rsid w:val="007E1702"/>
    <w:rsid w:val="007E1998"/>
    <w:rsid w:val="007E1C2E"/>
    <w:rsid w:val="007E20E3"/>
    <w:rsid w:val="007E231A"/>
    <w:rsid w:val="007E25E4"/>
    <w:rsid w:val="007E2630"/>
    <w:rsid w:val="007E26BC"/>
    <w:rsid w:val="007E2C9F"/>
    <w:rsid w:val="007E2DD5"/>
    <w:rsid w:val="007E2F16"/>
    <w:rsid w:val="007E36A5"/>
    <w:rsid w:val="007E38A4"/>
    <w:rsid w:val="007E394F"/>
    <w:rsid w:val="007E3A0E"/>
    <w:rsid w:val="007E3A1C"/>
    <w:rsid w:val="007E3CFF"/>
    <w:rsid w:val="007E3DE7"/>
    <w:rsid w:val="007E479F"/>
    <w:rsid w:val="007E47C4"/>
    <w:rsid w:val="007E47D9"/>
    <w:rsid w:val="007E4B22"/>
    <w:rsid w:val="007E4F90"/>
    <w:rsid w:val="007E4FF5"/>
    <w:rsid w:val="007E527E"/>
    <w:rsid w:val="007E533E"/>
    <w:rsid w:val="007E5A0B"/>
    <w:rsid w:val="007E5C16"/>
    <w:rsid w:val="007E5D85"/>
    <w:rsid w:val="007E5DF8"/>
    <w:rsid w:val="007E5E7D"/>
    <w:rsid w:val="007E5F91"/>
    <w:rsid w:val="007E6096"/>
    <w:rsid w:val="007E6208"/>
    <w:rsid w:val="007E6210"/>
    <w:rsid w:val="007E63DB"/>
    <w:rsid w:val="007E648B"/>
    <w:rsid w:val="007E648D"/>
    <w:rsid w:val="007E657A"/>
    <w:rsid w:val="007E690A"/>
    <w:rsid w:val="007E6A2F"/>
    <w:rsid w:val="007E6DC8"/>
    <w:rsid w:val="007E71DD"/>
    <w:rsid w:val="007E7460"/>
    <w:rsid w:val="007E78A0"/>
    <w:rsid w:val="007E7945"/>
    <w:rsid w:val="007E79A3"/>
    <w:rsid w:val="007F02FA"/>
    <w:rsid w:val="007F07FC"/>
    <w:rsid w:val="007F0BDB"/>
    <w:rsid w:val="007F0CD4"/>
    <w:rsid w:val="007F0E80"/>
    <w:rsid w:val="007F0ED6"/>
    <w:rsid w:val="007F1183"/>
    <w:rsid w:val="007F1233"/>
    <w:rsid w:val="007F1412"/>
    <w:rsid w:val="007F14B6"/>
    <w:rsid w:val="007F1506"/>
    <w:rsid w:val="007F180F"/>
    <w:rsid w:val="007F1828"/>
    <w:rsid w:val="007F1924"/>
    <w:rsid w:val="007F1990"/>
    <w:rsid w:val="007F1B05"/>
    <w:rsid w:val="007F1E2F"/>
    <w:rsid w:val="007F1FE6"/>
    <w:rsid w:val="007F2043"/>
    <w:rsid w:val="007F2191"/>
    <w:rsid w:val="007F25A0"/>
    <w:rsid w:val="007F27F8"/>
    <w:rsid w:val="007F2856"/>
    <w:rsid w:val="007F2B76"/>
    <w:rsid w:val="007F2DC2"/>
    <w:rsid w:val="007F30DB"/>
    <w:rsid w:val="007F3266"/>
    <w:rsid w:val="007F3465"/>
    <w:rsid w:val="007F349B"/>
    <w:rsid w:val="007F34A8"/>
    <w:rsid w:val="007F371A"/>
    <w:rsid w:val="007F3778"/>
    <w:rsid w:val="007F37D4"/>
    <w:rsid w:val="007F38A9"/>
    <w:rsid w:val="007F3921"/>
    <w:rsid w:val="007F394F"/>
    <w:rsid w:val="007F3A02"/>
    <w:rsid w:val="007F3B57"/>
    <w:rsid w:val="007F3C95"/>
    <w:rsid w:val="007F3F1E"/>
    <w:rsid w:val="007F4504"/>
    <w:rsid w:val="007F469A"/>
    <w:rsid w:val="007F5342"/>
    <w:rsid w:val="007F53B7"/>
    <w:rsid w:val="007F5459"/>
    <w:rsid w:val="007F5A4D"/>
    <w:rsid w:val="007F5E38"/>
    <w:rsid w:val="007F5F14"/>
    <w:rsid w:val="007F5FE5"/>
    <w:rsid w:val="007F6198"/>
    <w:rsid w:val="007F62DB"/>
    <w:rsid w:val="007F662F"/>
    <w:rsid w:val="007F668C"/>
    <w:rsid w:val="007F6825"/>
    <w:rsid w:val="007F683E"/>
    <w:rsid w:val="007F686C"/>
    <w:rsid w:val="007F6C73"/>
    <w:rsid w:val="007F6D44"/>
    <w:rsid w:val="007F700E"/>
    <w:rsid w:val="007F718F"/>
    <w:rsid w:val="007F733F"/>
    <w:rsid w:val="007F747B"/>
    <w:rsid w:val="007F7645"/>
    <w:rsid w:val="007F78F9"/>
    <w:rsid w:val="007F7CD5"/>
    <w:rsid w:val="0080021C"/>
    <w:rsid w:val="00800257"/>
    <w:rsid w:val="00800416"/>
    <w:rsid w:val="00800460"/>
    <w:rsid w:val="00800610"/>
    <w:rsid w:val="00800621"/>
    <w:rsid w:val="00800813"/>
    <w:rsid w:val="008008F6"/>
    <w:rsid w:val="008009BD"/>
    <w:rsid w:val="00800B2E"/>
    <w:rsid w:val="00801130"/>
    <w:rsid w:val="00801187"/>
    <w:rsid w:val="00801768"/>
    <w:rsid w:val="0080181E"/>
    <w:rsid w:val="00801886"/>
    <w:rsid w:val="008019BD"/>
    <w:rsid w:val="00801A26"/>
    <w:rsid w:val="00801B0F"/>
    <w:rsid w:val="00801BEA"/>
    <w:rsid w:val="008020E7"/>
    <w:rsid w:val="0080235A"/>
    <w:rsid w:val="0080288D"/>
    <w:rsid w:val="008029E0"/>
    <w:rsid w:val="00802A6E"/>
    <w:rsid w:val="00802BC4"/>
    <w:rsid w:val="00803285"/>
    <w:rsid w:val="008032AF"/>
    <w:rsid w:val="008035E2"/>
    <w:rsid w:val="00803669"/>
    <w:rsid w:val="0080366F"/>
    <w:rsid w:val="0080380E"/>
    <w:rsid w:val="00803C23"/>
    <w:rsid w:val="0080406B"/>
    <w:rsid w:val="00804465"/>
    <w:rsid w:val="00804509"/>
    <w:rsid w:val="008046CE"/>
    <w:rsid w:val="0080474D"/>
    <w:rsid w:val="0080480A"/>
    <w:rsid w:val="008049F5"/>
    <w:rsid w:val="00804B0E"/>
    <w:rsid w:val="00804C52"/>
    <w:rsid w:val="00804CB0"/>
    <w:rsid w:val="00804D92"/>
    <w:rsid w:val="00804F97"/>
    <w:rsid w:val="008050DD"/>
    <w:rsid w:val="008057BB"/>
    <w:rsid w:val="00805C7C"/>
    <w:rsid w:val="00805CDB"/>
    <w:rsid w:val="00805F7B"/>
    <w:rsid w:val="008060FA"/>
    <w:rsid w:val="008061DC"/>
    <w:rsid w:val="0080645E"/>
    <w:rsid w:val="00806759"/>
    <w:rsid w:val="00806838"/>
    <w:rsid w:val="00806C84"/>
    <w:rsid w:val="008071CA"/>
    <w:rsid w:val="008073A1"/>
    <w:rsid w:val="008073F9"/>
    <w:rsid w:val="00807498"/>
    <w:rsid w:val="008074C9"/>
    <w:rsid w:val="0080762B"/>
    <w:rsid w:val="008078DD"/>
    <w:rsid w:val="008079E2"/>
    <w:rsid w:val="00807D5A"/>
    <w:rsid w:val="00807FD2"/>
    <w:rsid w:val="00810085"/>
    <w:rsid w:val="00810610"/>
    <w:rsid w:val="0081091A"/>
    <w:rsid w:val="00810B42"/>
    <w:rsid w:val="00810BF2"/>
    <w:rsid w:val="00810D84"/>
    <w:rsid w:val="00810DFF"/>
    <w:rsid w:val="00810E56"/>
    <w:rsid w:val="00810EB3"/>
    <w:rsid w:val="00811354"/>
    <w:rsid w:val="008115AF"/>
    <w:rsid w:val="0081197E"/>
    <w:rsid w:val="00811CB9"/>
    <w:rsid w:val="008120DC"/>
    <w:rsid w:val="0081247F"/>
    <w:rsid w:val="0081288B"/>
    <w:rsid w:val="00812C7D"/>
    <w:rsid w:val="00812FCF"/>
    <w:rsid w:val="008130D2"/>
    <w:rsid w:val="00813663"/>
    <w:rsid w:val="008137CE"/>
    <w:rsid w:val="0081384A"/>
    <w:rsid w:val="0081388A"/>
    <w:rsid w:val="008139FF"/>
    <w:rsid w:val="00813A73"/>
    <w:rsid w:val="00814100"/>
    <w:rsid w:val="00814391"/>
    <w:rsid w:val="008145AB"/>
    <w:rsid w:val="008146A6"/>
    <w:rsid w:val="00814968"/>
    <w:rsid w:val="008149A5"/>
    <w:rsid w:val="00814B42"/>
    <w:rsid w:val="00814BBF"/>
    <w:rsid w:val="00814BE3"/>
    <w:rsid w:val="00814C0D"/>
    <w:rsid w:val="00814C59"/>
    <w:rsid w:val="00814D2D"/>
    <w:rsid w:val="00814EE7"/>
    <w:rsid w:val="0081504D"/>
    <w:rsid w:val="0081538C"/>
    <w:rsid w:val="00815423"/>
    <w:rsid w:val="008154D6"/>
    <w:rsid w:val="0081561E"/>
    <w:rsid w:val="008156F1"/>
    <w:rsid w:val="008157CE"/>
    <w:rsid w:val="00815992"/>
    <w:rsid w:val="008159B7"/>
    <w:rsid w:val="00815B21"/>
    <w:rsid w:val="00815C20"/>
    <w:rsid w:val="00815C6F"/>
    <w:rsid w:val="00815DBF"/>
    <w:rsid w:val="00815DE2"/>
    <w:rsid w:val="008161B5"/>
    <w:rsid w:val="00816219"/>
    <w:rsid w:val="0081676B"/>
    <w:rsid w:val="0081688E"/>
    <w:rsid w:val="00816928"/>
    <w:rsid w:val="00816A68"/>
    <w:rsid w:val="00816F8E"/>
    <w:rsid w:val="00817031"/>
    <w:rsid w:val="00817158"/>
    <w:rsid w:val="00817664"/>
    <w:rsid w:val="008177B4"/>
    <w:rsid w:val="008177CF"/>
    <w:rsid w:val="0081784C"/>
    <w:rsid w:val="008179A5"/>
    <w:rsid w:val="00817A14"/>
    <w:rsid w:val="00817BC4"/>
    <w:rsid w:val="00820517"/>
    <w:rsid w:val="008208C9"/>
    <w:rsid w:val="008209D5"/>
    <w:rsid w:val="00820A04"/>
    <w:rsid w:val="00820A9F"/>
    <w:rsid w:val="00820ADE"/>
    <w:rsid w:val="00820C6C"/>
    <w:rsid w:val="00820C9E"/>
    <w:rsid w:val="00820CC7"/>
    <w:rsid w:val="00820DCB"/>
    <w:rsid w:val="008214E2"/>
    <w:rsid w:val="00821573"/>
    <w:rsid w:val="00821649"/>
    <w:rsid w:val="00821BCB"/>
    <w:rsid w:val="00821C0D"/>
    <w:rsid w:val="00821E32"/>
    <w:rsid w:val="00821E6B"/>
    <w:rsid w:val="00822009"/>
    <w:rsid w:val="00822073"/>
    <w:rsid w:val="0082209C"/>
    <w:rsid w:val="008221FC"/>
    <w:rsid w:val="008222B6"/>
    <w:rsid w:val="008222C2"/>
    <w:rsid w:val="008224E0"/>
    <w:rsid w:val="00822580"/>
    <w:rsid w:val="00822584"/>
    <w:rsid w:val="00822673"/>
    <w:rsid w:val="0082283A"/>
    <w:rsid w:val="008228B0"/>
    <w:rsid w:val="00822A03"/>
    <w:rsid w:val="00822B03"/>
    <w:rsid w:val="00822C85"/>
    <w:rsid w:val="00822E4F"/>
    <w:rsid w:val="00822ED5"/>
    <w:rsid w:val="0082307E"/>
    <w:rsid w:val="008230CA"/>
    <w:rsid w:val="008230F6"/>
    <w:rsid w:val="0082316A"/>
    <w:rsid w:val="008231C0"/>
    <w:rsid w:val="008231FC"/>
    <w:rsid w:val="00823D69"/>
    <w:rsid w:val="0082409C"/>
    <w:rsid w:val="008240F3"/>
    <w:rsid w:val="0082419F"/>
    <w:rsid w:val="00824834"/>
    <w:rsid w:val="0082493A"/>
    <w:rsid w:val="00824CCB"/>
    <w:rsid w:val="00824D92"/>
    <w:rsid w:val="00825420"/>
    <w:rsid w:val="00825523"/>
    <w:rsid w:val="008258EF"/>
    <w:rsid w:val="008259B6"/>
    <w:rsid w:val="00825BE1"/>
    <w:rsid w:val="00825E87"/>
    <w:rsid w:val="00826293"/>
    <w:rsid w:val="008263BD"/>
    <w:rsid w:val="008263BF"/>
    <w:rsid w:val="00826862"/>
    <w:rsid w:val="008268B7"/>
    <w:rsid w:val="008268E4"/>
    <w:rsid w:val="008269E7"/>
    <w:rsid w:val="00826BB0"/>
    <w:rsid w:val="00826DA3"/>
    <w:rsid w:val="00826E64"/>
    <w:rsid w:val="00826E6D"/>
    <w:rsid w:val="00826F48"/>
    <w:rsid w:val="0082705B"/>
    <w:rsid w:val="008270E3"/>
    <w:rsid w:val="0082717B"/>
    <w:rsid w:val="008274FC"/>
    <w:rsid w:val="008278EA"/>
    <w:rsid w:val="00827B0C"/>
    <w:rsid w:val="00830131"/>
    <w:rsid w:val="008309A2"/>
    <w:rsid w:val="00830C04"/>
    <w:rsid w:val="00830F7A"/>
    <w:rsid w:val="0083101E"/>
    <w:rsid w:val="00831346"/>
    <w:rsid w:val="00831472"/>
    <w:rsid w:val="0083155D"/>
    <w:rsid w:val="0083158F"/>
    <w:rsid w:val="00831E60"/>
    <w:rsid w:val="0083201E"/>
    <w:rsid w:val="00832261"/>
    <w:rsid w:val="008325DF"/>
    <w:rsid w:val="00832853"/>
    <w:rsid w:val="00832984"/>
    <w:rsid w:val="00832BBE"/>
    <w:rsid w:val="00832FD0"/>
    <w:rsid w:val="008332BE"/>
    <w:rsid w:val="00833310"/>
    <w:rsid w:val="00833404"/>
    <w:rsid w:val="0083376B"/>
    <w:rsid w:val="0083390A"/>
    <w:rsid w:val="00833F6A"/>
    <w:rsid w:val="00834248"/>
    <w:rsid w:val="0083453B"/>
    <w:rsid w:val="00834B38"/>
    <w:rsid w:val="00834B61"/>
    <w:rsid w:val="00834C89"/>
    <w:rsid w:val="008351B3"/>
    <w:rsid w:val="00835846"/>
    <w:rsid w:val="00835A42"/>
    <w:rsid w:val="00835B49"/>
    <w:rsid w:val="00835CC8"/>
    <w:rsid w:val="008361B6"/>
    <w:rsid w:val="00836920"/>
    <w:rsid w:val="00836DAF"/>
    <w:rsid w:val="00837810"/>
    <w:rsid w:val="00837948"/>
    <w:rsid w:val="00837A59"/>
    <w:rsid w:val="00837D3D"/>
    <w:rsid w:val="00840149"/>
    <w:rsid w:val="008402A3"/>
    <w:rsid w:val="008404AF"/>
    <w:rsid w:val="008408EA"/>
    <w:rsid w:val="00840A5B"/>
    <w:rsid w:val="00840B3A"/>
    <w:rsid w:val="008412C0"/>
    <w:rsid w:val="00841453"/>
    <w:rsid w:val="0084145B"/>
    <w:rsid w:val="00841814"/>
    <w:rsid w:val="00841DD9"/>
    <w:rsid w:val="00842095"/>
    <w:rsid w:val="00842408"/>
    <w:rsid w:val="0084253F"/>
    <w:rsid w:val="008425BD"/>
    <w:rsid w:val="008425E8"/>
    <w:rsid w:val="008428B7"/>
    <w:rsid w:val="00842CCE"/>
    <w:rsid w:val="00842E3D"/>
    <w:rsid w:val="00842F5D"/>
    <w:rsid w:val="0084302B"/>
    <w:rsid w:val="00843047"/>
    <w:rsid w:val="0084310E"/>
    <w:rsid w:val="0084363E"/>
    <w:rsid w:val="00843852"/>
    <w:rsid w:val="0084392B"/>
    <w:rsid w:val="008439AA"/>
    <w:rsid w:val="00843A71"/>
    <w:rsid w:val="00843C84"/>
    <w:rsid w:val="00843DB9"/>
    <w:rsid w:val="00844278"/>
    <w:rsid w:val="00844299"/>
    <w:rsid w:val="008444C4"/>
    <w:rsid w:val="008445D8"/>
    <w:rsid w:val="00844825"/>
    <w:rsid w:val="00844861"/>
    <w:rsid w:val="00844892"/>
    <w:rsid w:val="00844BB3"/>
    <w:rsid w:val="00844D80"/>
    <w:rsid w:val="00844EB7"/>
    <w:rsid w:val="00844ED2"/>
    <w:rsid w:val="0084512C"/>
    <w:rsid w:val="00845135"/>
    <w:rsid w:val="00845203"/>
    <w:rsid w:val="008452DA"/>
    <w:rsid w:val="00845328"/>
    <w:rsid w:val="00845458"/>
    <w:rsid w:val="008458A3"/>
    <w:rsid w:val="00845A74"/>
    <w:rsid w:val="00845AAB"/>
    <w:rsid w:val="00845F2C"/>
    <w:rsid w:val="00845F91"/>
    <w:rsid w:val="0084620F"/>
    <w:rsid w:val="00846329"/>
    <w:rsid w:val="0084646D"/>
    <w:rsid w:val="0084647B"/>
    <w:rsid w:val="008464D5"/>
    <w:rsid w:val="00846738"/>
    <w:rsid w:val="00846811"/>
    <w:rsid w:val="00846C50"/>
    <w:rsid w:val="00846D2B"/>
    <w:rsid w:val="00846DDA"/>
    <w:rsid w:val="00846E1C"/>
    <w:rsid w:val="008470E2"/>
    <w:rsid w:val="008471E9"/>
    <w:rsid w:val="008475F3"/>
    <w:rsid w:val="0084764D"/>
    <w:rsid w:val="008477A6"/>
    <w:rsid w:val="00847931"/>
    <w:rsid w:val="00847D36"/>
    <w:rsid w:val="00847D49"/>
    <w:rsid w:val="00847DAC"/>
    <w:rsid w:val="00847EAC"/>
    <w:rsid w:val="0085055C"/>
    <w:rsid w:val="00850AB3"/>
    <w:rsid w:val="00850BC9"/>
    <w:rsid w:val="00850CBE"/>
    <w:rsid w:val="00850CCF"/>
    <w:rsid w:val="008517C1"/>
    <w:rsid w:val="00851E17"/>
    <w:rsid w:val="00852072"/>
    <w:rsid w:val="008521A4"/>
    <w:rsid w:val="00852367"/>
    <w:rsid w:val="008526BC"/>
    <w:rsid w:val="008527DB"/>
    <w:rsid w:val="00852B09"/>
    <w:rsid w:val="00852F5C"/>
    <w:rsid w:val="00852F9C"/>
    <w:rsid w:val="00853295"/>
    <w:rsid w:val="00853536"/>
    <w:rsid w:val="0085354D"/>
    <w:rsid w:val="008535DB"/>
    <w:rsid w:val="008536BD"/>
    <w:rsid w:val="008537F2"/>
    <w:rsid w:val="00853AB2"/>
    <w:rsid w:val="00853ADA"/>
    <w:rsid w:val="00853C10"/>
    <w:rsid w:val="00853DD1"/>
    <w:rsid w:val="0085405D"/>
    <w:rsid w:val="008540A0"/>
    <w:rsid w:val="00854189"/>
    <w:rsid w:val="0085444A"/>
    <w:rsid w:val="008544B6"/>
    <w:rsid w:val="008545B5"/>
    <w:rsid w:val="008546F5"/>
    <w:rsid w:val="0085471B"/>
    <w:rsid w:val="00854C18"/>
    <w:rsid w:val="00854C82"/>
    <w:rsid w:val="00854CA1"/>
    <w:rsid w:val="00854E51"/>
    <w:rsid w:val="00854E81"/>
    <w:rsid w:val="00855068"/>
    <w:rsid w:val="00856139"/>
    <w:rsid w:val="00856240"/>
    <w:rsid w:val="0085635F"/>
    <w:rsid w:val="00856454"/>
    <w:rsid w:val="00856612"/>
    <w:rsid w:val="00856643"/>
    <w:rsid w:val="008566D8"/>
    <w:rsid w:val="00856AD4"/>
    <w:rsid w:val="00856DFC"/>
    <w:rsid w:val="00856EAE"/>
    <w:rsid w:val="00856F1C"/>
    <w:rsid w:val="008571BE"/>
    <w:rsid w:val="0085733E"/>
    <w:rsid w:val="008575C6"/>
    <w:rsid w:val="00857915"/>
    <w:rsid w:val="00857AF2"/>
    <w:rsid w:val="00857B3F"/>
    <w:rsid w:val="00857B69"/>
    <w:rsid w:val="00857DD6"/>
    <w:rsid w:val="00860073"/>
    <w:rsid w:val="008603B9"/>
    <w:rsid w:val="0086054A"/>
    <w:rsid w:val="008606A4"/>
    <w:rsid w:val="0086077B"/>
    <w:rsid w:val="0086085C"/>
    <w:rsid w:val="00860B63"/>
    <w:rsid w:val="00860B82"/>
    <w:rsid w:val="00860BE9"/>
    <w:rsid w:val="008612BD"/>
    <w:rsid w:val="0086175C"/>
    <w:rsid w:val="00861880"/>
    <w:rsid w:val="00861BB5"/>
    <w:rsid w:val="00861D91"/>
    <w:rsid w:val="00861F0A"/>
    <w:rsid w:val="00861F11"/>
    <w:rsid w:val="0086227B"/>
    <w:rsid w:val="0086268B"/>
    <w:rsid w:val="008629E5"/>
    <w:rsid w:val="00862B56"/>
    <w:rsid w:val="00863218"/>
    <w:rsid w:val="008634C8"/>
    <w:rsid w:val="0086351E"/>
    <w:rsid w:val="00863736"/>
    <w:rsid w:val="0086384D"/>
    <w:rsid w:val="00863959"/>
    <w:rsid w:val="00863A5A"/>
    <w:rsid w:val="00863F98"/>
    <w:rsid w:val="0086414B"/>
    <w:rsid w:val="00864427"/>
    <w:rsid w:val="00864569"/>
    <w:rsid w:val="00864BE4"/>
    <w:rsid w:val="00864F1D"/>
    <w:rsid w:val="008653C5"/>
    <w:rsid w:val="008657AB"/>
    <w:rsid w:val="0086598A"/>
    <w:rsid w:val="00865D2C"/>
    <w:rsid w:val="00865FFD"/>
    <w:rsid w:val="008660AC"/>
    <w:rsid w:val="008660D4"/>
    <w:rsid w:val="008661F2"/>
    <w:rsid w:val="008662A6"/>
    <w:rsid w:val="008663C7"/>
    <w:rsid w:val="008665FA"/>
    <w:rsid w:val="008666DE"/>
    <w:rsid w:val="00866A08"/>
    <w:rsid w:val="00866D2E"/>
    <w:rsid w:val="00866D37"/>
    <w:rsid w:val="00866DDC"/>
    <w:rsid w:val="00866EE1"/>
    <w:rsid w:val="00866FE0"/>
    <w:rsid w:val="0086701E"/>
    <w:rsid w:val="00867448"/>
    <w:rsid w:val="008675F1"/>
    <w:rsid w:val="008677EF"/>
    <w:rsid w:val="008678EE"/>
    <w:rsid w:val="00867CE5"/>
    <w:rsid w:val="00867F14"/>
    <w:rsid w:val="00867FA0"/>
    <w:rsid w:val="00867FBB"/>
    <w:rsid w:val="00870D57"/>
    <w:rsid w:val="00870DF2"/>
    <w:rsid w:val="00870FB6"/>
    <w:rsid w:val="00871080"/>
    <w:rsid w:val="0087109F"/>
    <w:rsid w:val="008710A6"/>
    <w:rsid w:val="0087152C"/>
    <w:rsid w:val="00871620"/>
    <w:rsid w:val="00871904"/>
    <w:rsid w:val="00871D83"/>
    <w:rsid w:val="0087230D"/>
    <w:rsid w:val="0087244F"/>
    <w:rsid w:val="0087262D"/>
    <w:rsid w:val="00872754"/>
    <w:rsid w:val="00872A0F"/>
    <w:rsid w:val="00872C29"/>
    <w:rsid w:val="008732FD"/>
    <w:rsid w:val="00873374"/>
    <w:rsid w:val="00873432"/>
    <w:rsid w:val="00873452"/>
    <w:rsid w:val="00873553"/>
    <w:rsid w:val="0087357F"/>
    <w:rsid w:val="008736BA"/>
    <w:rsid w:val="00873749"/>
    <w:rsid w:val="00873973"/>
    <w:rsid w:val="00873AEC"/>
    <w:rsid w:val="00873B8F"/>
    <w:rsid w:val="00874060"/>
    <w:rsid w:val="0087407C"/>
    <w:rsid w:val="008744D8"/>
    <w:rsid w:val="008744E5"/>
    <w:rsid w:val="008746CB"/>
    <w:rsid w:val="0087473E"/>
    <w:rsid w:val="008747AC"/>
    <w:rsid w:val="008747BA"/>
    <w:rsid w:val="00874841"/>
    <w:rsid w:val="00874A37"/>
    <w:rsid w:val="00874E52"/>
    <w:rsid w:val="0087502A"/>
    <w:rsid w:val="00875370"/>
    <w:rsid w:val="008753D6"/>
    <w:rsid w:val="008757EB"/>
    <w:rsid w:val="00875945"/>
    <w:rsid w:val="00875CC9"/>
    <w:rsid w:val="00875D6A"/>
    <w:rsid w:val="00875FBA"/>
    <w:rsid w:val="0087603F"/>
    <w:rsid w:val="00876182"/>
    <w:rsid w:val="008763FE"/>
    <w:rsid w:val="0087648A"/>
    <w:rsid w:val="00876768"/>
    <w:rsid w:val="008767DC"/>
    <w:rsid w:val="00876A2E"/>
    <w:rsid w:val="00876C95"/>
    <w:rsid w:val="00876E07"/>
    <w:rsid w:val="0087723D"/>
    <w:rsid w:val="00877286"/>
    <w:rsid w:val="0087753B"/>
    <w:rsid w:val="008776B7"/>
    <w:rsid w:val="00877A4F"/>
    <w:rsid w:val="00877B3A"/>
    <w:rsid w:val="00877BA5"/>
    <w:rsid w:val="00877E56"/>
    <w:rsid w:val="00877E63"/>
    <w:rsid w:val="00877F83"/>
    <w:rsid w:val="00880521"/>
    <w:rsid w:val="00880618"/>
    <w:rsid w:val="008808E7"/>
    <w:rsid w:val="00880BDA"/>
    <w:rsid w:val="00880C64"/>
    <w:rsid w:val="00880CA9"/>
    <w:rsid w:val="00880D6D"/>
    <w:rsid w:val="00881442"/>
    <w:rsid w:val="0088148F"/>
    <w:rsid w:val="0088172C"/>
    <w:rsid w:val="00881A25"/>
    <w:rsid w:val="00881B1D"/>
    <w:rsid w:val="00881D4C"/>
    <w:rsid w:val="0088202F"/>
    <w:rsid w:val="00882140"/>
    <w:rsid w:val="00882151"/>
    <w:rsid w:val="0088265B"/>
    <w:rsid w:val="008829EF"/>
    <w:rsid w:val="00882C18"/>
    <w:rsid w:val="00882E5C"/>
    <w:rsid w:val="00882F9E"/>
    <w:rsid w:val="00882FB2"/>
    <w:rsid w:val="00883310"/>
    <w:rsid w:val="00883363"/>
    <w:rsid w:val="008837F7"/>
    <w:rsid w:val="00883A1F"/>
    <w:rsid w:val="00883B38"/>
    <w:rsid w:val="00883CDB"/>
    <w:rsid w:val="008841CE"/>
    <w:rsid w:val="00884552"/>
    <w:rsid w:val="0088498D"/>
    <w:rsid w:val="00885241"/>
    <w:rsid w:val="00885295"/>
    <w:rsid w:val="008853D3"/>
    <w:rsid w:val="0088554F"/>
    <w:rsid w:val="008857E3"/>
    <w:rsid w:val="008859D1"/>
    <w:rsid w:val="008859DD"/>
    <w:rsid w:val="00885B6D"/>
    <w:rsid w:val="00885B89"/>
    <w:rsid w:val="00885F70"/>
    <w:rsid w:val="008861C5"/>
    <w:rsid w:val="008861D0"/>
    <w:rsid w:val="00886297"/>
    <w:rsid w:val="0088655E"/>
    <w:rsid w:val="00886576"/>
    <w:rsid w:val="008867E9"/>
    <w:rsid w:val="00886C06"/>
    <w:rsid w:val="00886EEE"/>
    <w:rsid w:val="00887077"/>
    <w:rsid w:val="008871BE"/>
    <w:rsid w:val="008872B1"/>
    <w:rsid w:val="008872DF"/>
    <w:rsid w:val="008872EB"/>
    <w:rsid w:val="00887517"/>
    <w:rsid w:val="00887536"/>
    <w:rsid w:val="0088792B"/>
    <w:rsid w:val="008879DD"/>
    <w:rsid w:val="00887BA1"/>
    <w:rsid w:val="00887F19"/>
    <w:rsid w:val="00887FC7"/>
    <w:rsid w:val="0089020B"/>
    <w:rsid w:val="00890277"/>
    <w:rsid w:val="008902ED"/>
    <w:rsid w:val="00890373"/>
    <w:rsid w:val="0089042B"/>
    <w:rsid w:val="00890D07"/>
    <w:rsid w:val="00890EBE"/>
    <w:rsid w:val="00890F35"/>
    <w:rsid w:val="00891089"/>
    <w:rsid w:val="0089114C"/>
    <w:rsid w:val="008915A5"/>
    <w:rsid w:val="0089169E"/>
    <w:rsid w:val="0089172D"/>
    <w:rsid w:val="0089194E"/>
    <w:rsid w:val="00891C63"/>
    <w:rsid w:val="00891CE6"/>
    <w:rsid w:val="00891CEB"/>
    <w:rsid w:val="00891F2F"/>
    <w:rsid w:val="00891FB7"/>
    <w:rsid w:val="008920F3"/>
    <w:rsid w:val="0089236F"/>
    <w:rsid w:val="00892412"/>
    <w:rsid w:val="00892ACB"/>
    <w:rsid w:val="00892C87"/>
    <w:rsid w:val="00892CDC"/>
    <w:rsid w:val="00892D94"/>
    <w:rsid w:val="00892E87"/>
    <w:rsid w:val="00893134"/>
    <w:rsid w:val="0089320A"/>
    <w:rsid w:val="008936A5"/>
    <w:rsid w:val="008937E1"/>
    <w:rsid w:val="0089385C"/>
    <w:rsid w:val="00893868"/>
    <w:rsid w:val="00893A1F"/>
    <w:rsid w:val="00893CE3"/>
    <w:rsid w:val="00893D79"/>
    <w:rsid w:val="00893E18"/>
    <w:rsid w:val="008940AB"/>
    <w:rsid w:val="008943F1"/>
    <w:rsid w:val="00894641"/>
    <w:rsid w:val="0089473E"/>
    <w:rsid w:val="00894E81"/>
    <w:rsid w:val="00894EA5"/>
    <w:rsid w:val="00895048"/>
    <w:rsid w:val="0089534A"/>
    <w:rsid w:val="00895362"/>
    <w:rsid w:val="00895843"/>
    <w:rsid w:val="00895B78"/>
    <w:rsid w:val="00896042"/>
    <w:rsid w:val="008962DF"/>
    <w:rsid w:val="00896670"/>
    <w:rsid w:val="008968F0"/>
    <w:rsid w:val="008969EA"/>
    <w:rsid w:val="00896C59"/>
    <w:rsid w:val="00896D66"/>
    <w:rsid w:val="00896DC1"/>
    <w:rsid w:val="00897157"/>
    <w:rsid w:val="00897168"/>
    <w:rsid w:val="0089717C"/>
    <w:rsid w:val="00897237"/>
    <w:rsid w:val="0089736F"/>
    <w:rsid w:val="00897383"/>
    <w:rsid w:val="008973F1"/>
    <w:rsid w:val="008974C2"/>
    <w:rsid w:val="00897748"/>
    <w:rsid w:val="00897891"/>
    <w:rsid w:val="0089799D"/>
    <w:rsid w:val="008979F1"/>
    <w:rsid w:val="00897F92"/>
    <w:rsid w:val="008A048D"/>
    <w:rsid w:val="008A09F0"/>
    <w:rsid w:val="008A0A67"/>
    <w:rsid w:val="008A0AB3"/>
    <w:rsid w:val="008A1247"/>
    <w:rsid w:val="008A1432"/>
    <w:rsid w:val="008A153A"/>
    <w:rsid w:val="008A1556"/>
    <w:rsid w:val="008A18AC"/>
    <w:rsid w:val="008A18D0"/>
    <w:rsid w:val="008A1C4A"/>
    <w:rsid w:val="008A20E1"/>
    <w:rsid w:val="008A21A5"/>
    <w:rsid w:val="008A2490"/>
    <w:rsid w:val="008A2554"/>
    <w:rsid w:val="008A2910"/>
    <w:rsid w:val="008A2DD6"/>
    <w:rsid w:val="008A2FAF"/>
    <w:rsid w:val="008A3071"/>
    <w:rsid w:val="008A313B"/>
    <w:rsid w:val="008A35F1"/>
    <w:rsid w:val="008A38EB"/>
    <w:rsid w:val="008A3AFC"/>
    <w:rsid w:val="008A3B1C"/>
    <w:rsid w:val="008A3B5A"/>
    <w:rsid w:val="008A3D61"/>
    <w:rsid w:val="008A3F89"/>
    <w:rsid w:val="008A404E"/>
    <w:rsid w:val="008A40F4"/>
    <w:rsid w:val="008A4658"/>
    <w:rsid w:val="008A487A"/>
    <w:rsid w:val="008A4A03"/>
    <w:rsid w:val="008A4B70"/>
    <w:rsid w:val="008A4C96"/>
    <w:rsid w:val="008A5044"/>
    <w:rsid w:val="008A50C3"/>
    <w:rsid w:val="008A51AE"/>
    <w:rsid w:val="008A5240"/>
    <w:rsid w:val="008A532D"/>
    <w:rsid w:val="008A5947"/>
    <w:rsid w:val="008A5A7A"/>
    <w:rsid w:val="008A5D9D"/>
    <w:rsid w:val="008A61B8"/>
    <w:rsid w:val="008A6339"/>
    <w:rsid w:val="008A63CE"/>
    <w:rsid w:val="008A6B78"/>
    <w:rsid w:val="008A6DD0"/>
    <w:rsid w:val="008A6E4A"/>
    <w:rsid w:val="008A6ED0"/>
    <w:rsid w:val="008A71C4"/>
    <w:rsid w:val="008A7916"/>
    <w:rsid w:val="008A79EE"/>
    <w:rsid w:val="008A7BD2"/>
    <w:rsid w:val="008A7CB2"/>
    <w:rsid w:val="008A7E14"/>
    <w:rsid w:val="008A7FA7"/>
    <w:rsid w:val="008B0107"/>
    <w:rsid w:val="008B07B6"/>
    <w:rsid w:val="008B07D9"/>
    <w:rsid w:val="008B08E9"/>
    <w:rsid w:val="008B0985"/>
    <w:rsid w:val="008B0E72"/>
    <w:rsid w:val="008B0EB9"/>
    <w:rsid w:val="008B1065"/>
    <w:rsid w:val="008B1A82"/>
    <w:rsid w:val="008B1DB4"/>
    <w:rsid w:val="008B1F75"/>
    <w:rsid w:val="008B2074"/>
    <w:rsid w:val="008B212B"/>
    <w:rsid w:val="008B219E"/>
    <w:rsid w:val="008B225E"/>
    <w:rsid w:val="008B25CB"/>
    <w:rsid w:val="008B2616"/>
    <w:rsid w:val="008B261F"/>
    <w:rsid w:val="008B2ADB"/>
    <w:rsid w:val="008B2EC3"/>
    <w:rsid w:val="008B2EE3"/>
    <w:rsid w:val="008B325C"/>
    <w:rsid w:val="008B3272"/>
    <w:rsid w:val="008B3319"/>
    <w:rsid w:val="008B355A"/>
    <w:rsid w:val="008B35A7"/>
    <w:rsid w:val="008B36E4"/>
    <w:rsid w:val="008B3899"/>
    <w:rsid w:val="008B3AC3"/>
    <w:rsid w:val="008B3B4E"/>
    <w:rsid w:val="008B3C70"/>
    <w:rsid w:val="008B3CD4"/>
    <w:rsid w:val="008B3DA8"/>
    <w:rsid w:val="008B3DE2"/>
    <w:rsid w:val="008B3EF6"/>
    <w:rsid w:val="008B405A"/>
    <w:rsid w:val="008B45A0"/>
    <w:rsid w:val="008B45D8"/>
    <w:rsid w:val="008B4668"/>
    <w:rsid w:val="008B4750"/>
    <w:rsid w:val="008B4A3F"/>
    <w:rsid w:val="008B4ADB"/>
    <w:rsid w:val="008B4E38"/>
    <w:rsid w:val="008B4EBA"/>
    <w:rsid w:val="008B506B"/>
    <w:rsid w:val="008B5152"/>
    <w:rsid w:val="008B54DF"/>
    <w:rsid w:val="008B582F"/>
    <w:rsid w:val="008B59ED"/>
    <w:rsid w:val="008B605A"/>
    <w:rsid w:val="008B6387"/>
    <w:rsid w:val="008B66B5"/>
    <w:rsid w:val="008B6AB2"/>
    <w:rsid w:val="008B6B5B"/>
    <w:rsid w:val="008B7050"/>
    <w:rsid w:val="008B7081"/>
    <w:rsid w:val="008B7147"/>
    <w:rsid w:val="008B7487"/>
    <w:rsid w:val="008B77BD"/>
    <w:rsid w:val="008B78CD"/>
    <w:rsid w:val="008B7940"/>
    <w:rsid w:val="008B7B71"/>
    <w:rsid w:val="008B7E34"/>
    <w:rsid w:val="008C007E"/>
    <w:rsid w:val="008C00F2"/>
    <w:rsid w:val="008C00FB"/>
    <w:rsid w:val="008C0564"/>
    <w:rsid w:val="008C0945"/>
    <w:rsid w:val="008C0D6D"/>
    <w:rsid w:val="008C0DFC"/>
    <w:rsid w:val="008C0F9A"/>
    <w:rsid w:val="008C158C"/>
    <w:rsid w:val="008C1730"/>
    <w:rsid w:val="008C18C0"/>
    <w:rsid w:val="008C1CC9"/>
    <w:rsid w:val="008C1F4D"/>
    <w:rsid w:val="008C2312"/>
    <w:rsid w:val="008C2333"/>
    <w:rsid w:val="008C2624"/>
    <w:rsid w:val="008C278C"/>
    <w:rsid w:val="008C2811"/>
    <w:rsid w:val="008C2D18"/>
    <w:rsid w:val="008C2D8B"/>
    <w:rsid w:val="008C306C"/>
    <w:rsid w:val="008C3152"/>
    <w:rsid w:val="008C3343"/>
    <w:rsid w:val="008C3358"/>
    <w:rsid w:val="008C346D"/>
    <w:rsid w:val="008C3529"/>
    <w:rsid w:val="008C3602"/>
    <w:rsid w:val="008C3952"/>
    <w:rsid w:val="008C3CC5"/>
    <w:rsid w:val="008C3E95"/>
    <w:rsid w:val="008C3E96"/>
    <w:rsid w:val="008C3EFD"/>
    <w:rsid w:val="008C3F68"/>
    <w:rsid w:val="008C422F"/>
    <w:rsid w:val="008C4230"/>
    <w:rsid w:val="008C4473"/>
    <w:rsid w:val="008C48FE"/>
    <w:rsid w:val="008C4CBD"/>
    <w:rsid w:val="008C4F91"/>
    <w:rsid w:val="008C519B"/>
    <w:rsid w:val="008C56C7"/>
    <w:rsid w:val="008C5AD0"/>
    <w:rsid w:val="008C5AF0"/>
    <w:rsid w:val="008C5CA8"/>
    <w:rsid w:val="008C5E65"/>
    <w:rsid w:val="008C5E74"/>
    <w:rsid w:val="008C5FE6"/>
    <w:rsid w:val="008C637F"/>
    <w:rsid w:val="008C659B"/>
    <w:rsid w:val="008C65A1"/>
    <w:rsid w:val="008C6626"/>
    <w:rsid w:val="008C6651"/>
    <w:rsid w:val="008C66C3"/>
    <w:rsid w:val="008C6793"/>
    <w:rsid w:val="008C6CE0"/>
    <w:rsid w:val="008C6E01"/>
    <w:rsid w:val="008C6F97"/>
    <w:rsid w:val="008C6FFB"/>
    <w:rsid w:val="008C711B"/>
    <w:rsid w:val="008C71D7"/>
    <w:rsid w:val="008C7824"/>
    <w:rsid w:val="008C7946"/>
    <w:rsid w:val="008C79BA"/>
    <w:rsid w:val="008C7B87"/>
    <w:rsid w:val="008C7D87"/>
    <w:rsid w:val="008C7FA5"/>
    <w:rsid w:val="008D0045"/>
    <w:rsid w:val="008D01C5"/>
    <w:rsid w:val="008D0624"/>
    <w:rsid w:val="008D06EC"/>
    <w:rsid w:val="008D0C98"/>
    <w:rsid w:val="008D1169"/>
    <w:rsid w:val="008D11C1"/>
    <w:rsid w:val="008D1338"/>
    <w:rsid w:val="008D1858"/>
    <w:rsid w:val="008D1E97"/>
    <w:rsid w:val="008D2367"/>
    <w:rsid w:val="008D23E1"/>
    <w:rsid w:val="008D258F"/>
    <w:rsid w:val="008D29B1"/>
    <w:rsid w:val="008D2CED"/>
    <w:rsid w:val="008D2E62"/>
    <w:rsid w:val="008D3095"/>
    <w:rsid w:val="008D3407"/>
    <w:rsid w:val="008D34F6"/>
    <w:rsid w:val="008D380C"/>
    <w:rsid w:val="008D38AA"/>
    <w:rsid w:val="008D3947"/>
    <w:rsid w:val="008D3984"/>
    <w:rsid w:val="008D39C3"/>
    <w:rsid w:val="008D3B1E"/>
    <w:rsid w:val="008D3B2D"/>
    <w:rsid w:val="008D3C6B"/>
    <w:rsid w:val="008D4401"/>
    <w:rsid w:val="008D459F"/>
    <w:rsid w:val="008D4BB6"/>
    <w:rsid w:val="008D4C17"/>
    <w:rsid w:val="008D4C39"/>
    <w:rsid w:val="008D5536"/>
    <w:rsid w:val="008D5B39"/>
    <w:rsid w:val="008D5B7C"/>
    <w:rsid w:val="008D5CF6"/>
    <w:rsid w:val="008D5F29"/>
    <w:rsid w:val="008D62C9"/>
    <w:rsid w:val="008D6343"/>
    <w:rsid w:val="008D63CC"/>
    <w:rsid w:val="008D6440"/>
    <w:rsid w:val="008D6B84"/>
    <w:rsid w:val="008D6FB8"/>
    <w:rsid w:val="008D7316"/>
    <w:rsid w:val="008D7701"/>
    <w:rsid w:val="008D78B2"/>
    <w:rsid w:val="008E03AD"/>
    <w:rsid w:val="008E05BC"/>
    <w:rsid w:val="008E0B34"/>
    <w:rsid w:val="008E0B4A"/>
    <w:rsid w:val="008E0CD2"/>
    <w:rsid w:val="008E0E6B"/>
    <w:rsid w:val="008E0FBA"/>
    <w:rsid w:val="008E0FE8"/>
    <w:rsid w:val="008E16B9"/>
    <w:rsid w:val="008E1727"/>
    <w:rsid w:val="008E17E4"/>
    <w:rsid w:val="008E18AC"/>
    <w:rsid w:val="008E1900"/>
    <w:rsid w:val="008E1BCC"/>
    <w:rsid w:val="008E1BD1"/>
    <w:rsid w:val="008E1CDB"/>
    <w:rsid w:val="008E1E09"/>
    <w:rsid w:val="008E1F64"/>
    <w:rsid w:val="008E1FF0"/>
    <w:rsid w:val="008E205A"/>
    <w:rsid w:val="008E2219"/>
    <w:rsid w:val="008E23C8"/>
    <w:rsid w:val="008E2683"/>
    <w:rsid w:val="008E2761"/>
    <w:rsid w:val="008E2B0D"/>
    <w:rsid w:val="008E2D72"/>
    <w:rsid w:val="008E2F1C"/>
    <w:rsid w:val="008E307D"/>
    <w:rsid w:val="008E3376"/>
    <w:rsid w:val="008E33BB"/>
    <w:rsid w:val="008E3597"/>
    <w:rsid w:val="008E3739"/>
    <w:rsid w:val="008E37C3"/>
    <w:rsid w:val="008E390E"/>
    <w:rsid w:val="008E3A68"/>
    <w:rsid w:val="008E3E40"/>
    <w:rsid w:val="008E3EA6"/>
    <w:rsid w:val="008E3FB6"/>
    <w:rsid w:val="008E3FE3"/>
    <w:rsid w:val="008E42FA"/>
    <w:rsid w:val="008E4320"/>
    <w:rsid w:val="008E470A"/>
    <w:rsid w:val="008E4908"/>
    <w:rsid w:val="008E4B0B"/>
    <w:rsid w:val="008E59BA"/>
    <w:rsid w:val="008E5D89"/>
    <w:rsid w:val="008E61E0"/>
    <w:rsid w:val="008E6358"/>
    <w:rsid w:val="008E6480"/>
    <w:rsid w:val="008E6558"/>
    <w:rsid w:val="008E66BF"/>
    <w:rsid w:val="008E67B9"/>
    <w:rsid w:val="008E6FB5"/>
    <w:rsid w:val="008E722A"/>
    <w:rsid w:val="008E7238"/>
    <w:rsid w:val="008E72C5"/>
    <w:rsid w:val="008E738B"/>
    <w:rsid w:val="008E74A8"/>
    <w:rsid w:val="008E76FE"/>
    <w:rsid w:val="008E7957"/>
    <w:rsid w:val="008E7A14"/>
    <w:rsid w:val="008F00D8"/>
    <w:rsid w:val="008F0388"/>
    <w:rsid w:val="008F0430"/>
    <w:rsid w:val="008F04B4"/>
    <w:rsid w:val="008F0527"/>
    <w:rsid w:val="008F0AB8"/>
    <w:rsid w:val="008F0BF5"/>
    <w:rsid w:val="008F0E64"/>
    <w:rsid w:val="008F0F64"/>
    <w:rsid w:val="008F167A"/>
    <w:rsid w:val="008F17BC"/>
    <w:rsid w:val="008F1E02"/>
    <w:rsid w:val="008F1E06"/>
    <w:rsid w:val="008F1E58"/>
    <w:rsid w:val="008F23A9"/>
    <w:rsid w:val="008F24F9"/>
    <w:rsid w:val="008F25D8"/>
    <w:rsid w:val="008F2639"/>
    <w:rsid w:val="008F266F"/>
    <w:rsid w:val="008F2A24"/>
    <w:rsid w:val="008F2BDC"/>
    <w:rsid w:val="008F2E96"/>
    <w:rsid w:val="008F3592"/>
    <w:rsid w:val="008F39E7"/>
    <w:rsid w:val="008F3E14"/>
    <w:rsid w:val="008F3F81"/>
    <w:rsid w:val="008F40C3"/>
    <w:rsid w:val="008F4408"/>
    <w:rsid w:val="008F452D"/>
    <w:rsid w:val="008F470B"/>
    <w:rsid w:val="008F4734"/>
    <w:rsid w:val="008F484F"/>
    <w:rsid w:val="008F491D"/>
    <w:rsid w:val="008F49F5"/>
    <w:rsid w:val="008F4A73"/>
    <w:rsid w:val="008F4F17"/>
    <w:rsid w:val="008F501F"/>
    <w:rsid w:val="008F50A6"/>
    <w:rsid w:val="008F50F1"/>
    <w:rsid w:val="008F535A"/>
    <w:rsid w:val="008F536E"/>
    <w:rsid w:val="008F5431"/>
    <w:rsid w:val="008F54E1"/>
    <w:rsid w:val="008F5588"/>
    <w:rsid w:val="008F5639"/>
    <w:rsid w:val="008F5781"/>
    <w:rsid w:val="008F5804"/>
    <w:rsid w:val="008F58E7"/>
    <w:rsid w:val="008F59D8"/>
    <w:rsid w:val="008F5A5E"/>
    <w:rsid w:val="008F5BF8"/>
    <w:rsid w:val="008F5CB4"/>
    <w:rsid w:val="008F5CF2"/>
    <w:rsid w:val="008F5F27"/>
    <w:rsid w:val="008F5F82"/>
    <w:rsid w:val="008F613B"/>
    <w:rsid w:val="008F6357"/>
    <w:rsid w:val="008F63CD"/>
    <w:rsid w:val="008F6825"/>
    <w:rsid w:val="008F7341"/>
    <w:rsid w:val="008F77F4"/>
    <w:rsid w:val="008F786D"/>
    <w:rsid w:val="008F78EB"/>
    <w:rsid w:val="008F7A03"/>
    <w:rsid w:val="008F7E47"/>
    <w:rsid w:val="008F7F32"/>
    <w:rsid w:val="009003F8"/>
    <w:rsid w:val="0090048D"/>
    <w:rsid w:val="00900990"/>
    <w:rsid w:val="00900B16"/>
    <w:rsid w:val="00900D95"/>
    <w:rsid w:val="009012AC"/>
    <w:rsid w:val="00901631"/>
    <w:rsid w:val="0090194B"/>
    <w:rsid w:val="00901BDD"/>
    <w:rsid w:val="00901E58"/>
    <w:rsid w:val="00902041"/>
    <w:rsid w:val="00902129"/>
    <w:rsid w:val="0090220C"/>
    <w:rsid w:val="00902504"/>
    <w:rsid w:val="009030A9"/>
    <w:rsid w:val="009033A6"/>
    <w:rsid w:val="00903516"/>
    <w:rsid w:val="009037A9"/>
    <w:rsid w:val="00903B01"/>
    <w:rsid w:val="00903B27"/>
    <w:rsid w:val="00903DAE"/>
    <w:rsid w:val="00904049"/>
    <w:rsid w:val="00904200"/>
    <w:rsid w:val="0090433A"/>
    <w:rsid w:val="00904603"/>
    <w:rsid w:val="0090492A"/>
    <w:rsid w:val="00904BBD"/>
    <w:rsid w:val="00904C88"/>
    <w:rsid w:val="00904CE4"/>
    <w:rsid w:val="00904D0C"/>
    <w:rsid w:val="00904D3E"/>
    <w:rsid w:val="00904DCD"/>
    <w:rsid w:val="00904DF3"/>
    <w:rsid w:val="0090523F"/>
    <w:rsid w:val="0090560D"/>
    <w:rsid w:val="00905618"/>
    <w:rsid w:val="009059C0"/>
    <w:rsid w:val="00905A1B"/>
    <w:rsid w:val="00905D2D"/>
    <w:rsid w:val="00905F0F"/>
    <w:rsid w:val="0090632A"/>
    <w:rsid w:val="00906351"/>
    <w:rsid w:val="0090671D"/>
    <w:rsid w:val="009068A7"/>
    <w:rsid w:val="00906A48"/>
    <w:rsid w:val="00906B27"/>
    <w:rsid w:val="00906DE3"/>
    <w:rsid w:val="00906F26"/>
    <w:rsid w:val="0090703B"/>
    <w:rsid w:val="00907061"/>
    <w:rsid w:val="009074FB"/>
    <w:rsid w:val="009074FE"/>
    <w:rsid w:val="009079BB"/>
    <w:rsid w:val="00907AA7"/>
    <w:rsid w:val="00907AF4"/>
    <w:rsid w:val="00907D38"/>
    <w:rsid w:val="00907DC5"/>
    <w:rsid w:val="00907E1A"/>
    <w:rsid w:val="00907FE7"/>
    <w:rsid w:val="00910079"/>
    <w:rsid w:val="00910488"/>
    <w:rsid w:val="00910648"/>
    <w:rsid w:val="00910705"/>
    <w:rsid w:val="00910717"/>
    <w:rsid w:val="00910898"/>
    <w:rsid w:val="0091089D"/>
    <w:rsid w:val="009108DA"/>
    <w:rsid w:val="0091099C"/>
    <w:rsid w:val="00910C67"/>
    <w:rsid w:val="00910DC7"/>
    <w:rsid w:val="00910EBE"/>
    <w:rsid w:val="009113A9"/>
    <w:rsid w:val="00911688"/>
    <w:rsid w:val="00911725"/>
    <w:rsid w:val="009118FC"/>
    <w:rsid w:val="00911E59"/>
    <w:rsid w:val="00911E81"/>
    <w:rsid w:val="00911EDA"/>
    <w:rsid w:val="00912087"/>
    <w:rsid w:val="009127EA"/>
    <w:rsid w:val="009128AB"/>
    <w:rsid w:val="00912A58"/>
    <w:rsid w:val="00912F21"/>
    <w:rsid w:val="009130DD"/>
    <w:rsid w:val="0091350A"/>
    <w:rsid w:val="00913BC9"/>
    <w:rsid w:val="00913C82"/>
    <w:rsid w:val="009141E4"/>
    <w:rsid w:val="0091447F"/>
    <w:rsid w:val="00914B89"/>
    <w:rsid w:val="00914C40"/>
    <w:rsid w:val="00914D01"/>
    <w:rsid w:val="00914DBF"/>
    <w:rsid w:val="0091521E"/>
    <w:rsid w:val="00915355"/>
    <w:rsid w:val="009159E5"/>
    <w:rsid w:val="00915B5B"/>
    <w:rsid w:val="00915CEF"/>
    <w:rsid w:val="00915CF8"/>
    <w:rsid w:val="00915DBF"/>
    <w:rsid w:val="00915FBD"/>
    <w:rsid w:val="0091644B"/>
    <w:rsid w:val="0091657E"/>
    <w:rsid w:val="009168B4"/>
    <w:rsid w:val="00916A82"/>
    <w:rsid w:val="00916C62"/>
    <w:rsid w:val="00916DD3"/>
    <w:rsid w:val="00916F2B"/>
    <w:rsid w:val="009171E9"/>
    <w:rsid w:val="009175B0"/>
    <w:rsid w:val="00917874"/>
    <w:rsid w:val="00917A34"/>
    <w:rsid w:val="00917AC0"/>
    <w:rsid w:val="00917B69"/>
    <w:rsid w:val="00917BA7"/>
    <w:rsid w:val="00917DBE"/>
    <w:rsid w:val="00917ED9"/>
    <w:rsid w:val="00917FA4"/>
    <w:rsid w:val="0092019C"/>
    <w:rsid w:val="00920489"/>
    <w:rsid w:val="00920756"/>
    <w:rsid w:val="009207FE"/>
    <w:rsid w:val="0092090D"/>
    <w:rsid w:val="0092092E"/>
    <w:rsid w:val="00920BC9"/>
    <w:rsid w:val="00920F4D"/>
    <w:rsid w:val="009210F7"/>
    <w:rsid w:val="00921534"/>
    <w:rsid w:val="009216D6"/>
    <w:rsid w:val="00921836"/>
    <w:rsid w:val="009218C9"/>
    <w:rsid w:val="009219B1"/>
    <w:rsid w:val="0092206E"/>
    <w:rsid w:val="009224AF"/>
    <w:rsid w:val="00922613"/>
    <w:rsid w:val="0092276E"/>
    <w:rsid w:val="009229EE"/>
    <w:rsid w:val="00922D4F"/>
    <w:rsid w:val="00922D81"/>
    <w:rsid w:val="00922FA4"/>
    <w:rsid w:val="0092350A"/>
    <w:rsid w:val="00923694"/>
    <w:rsid w:val="009238C1"/>
    <w:rsid w:val="00923970"/>
    <w:rsid w:val="00923BB5"/>
    <w:rsid w:val="00923BCD"/>
    <w:rsid w:val="00923DC8"/>
    <w:rsid w:val="00923DF7"/>
    <w:rsid w:val="00923F0D"/>
    <w:rsid w:val="00923FFE"/>
    <w:rsid w:val="00924035"/>
    <w:rsid w:val="0092414D"/>
    <w:rsid w:val="00924732"/>
    <w:rsid w:val="00924A4B"/>
    <w:rsid w:val="00924DD4"/>
    <w:rsid w:val="00924EBC"/>
    <w:rsid w:val="0092523F"/>
    <w:rsid w:val="009252BA"/>
    <w:rsid w:val="00925394"/>
    <w:rsid w:val="00925537"/>
    <w:rsid w:val="0092573C"/>
    <w:rsid w:val="009258DB"/>
    <w:rsid w:val="009259EF"/>
    <w:rsid w:val="00925A8F"/>
    <w:rsid w:val="00925AA4"/>
    <w:rsid w:val="00925AB1"/>
    <w:rsid w:val="00925D53"/>
    <w:rsid w:val="00925DA9"/>
    <w:rsid w:val="00925E9C"/>
    <w:rsid w:val="0092616E"/>
    <w:rsid w:val="0092692A"/>
    <w:rsid w:val="00926A1E"/>
    <w:rsid w:val="00926A6D"/>
    <w:rsid w:val="00926EA1"/>
    <w:rsid w:val="00926F41"/>
    <w:rsid w:val="00926F54"/>
    <w:rsid w:val="00927101"/>
    <w:rsid w:val="00927200"/>
    <w:rsid w:val="00927588"/>
    <w:rsid w:val="009275DD"/>
    <w:rsid w:val="00927F4A"/>
    <w:rsid w:val="00930279"/>
    <w:rsid w:val="009302EE"/>
    <w:rsid w:val="0093072F"/>
    <w:rsid w:val="009307CF"/>
    <w:rsid w:val="00930914"/>
    <w:rsid w:val="00930BD8"/>
    <w:rsid w:val="00930C32"/>
    <w:rsid w:val="00930D77"/>
    <w:rsid w:val="009311E4"/>
    <w:rsid w:val="00931291"/>
    <w:rsid w:val="00931600"/>
    <w:rsid w:val="00931B9F"/>
    <w:rsid w:val="00931EA9"/>
    <w:rsid w:val="00931EAF"/>
    <w:rsid w:val="009321F7"/>
    <w:rsid w:val="009321FA"/>
    <w:rsid w:val="0093255B"/>
    <w:rsid w:val="00932766"/>
    <w:rsid w:val="00932949"/>
    <w:rsid w:val="00932F48"/>
    <w:rsid w:val="00932FCB"/>
    <w:rsid w:val="009330B4"/>
    <w:rsid w:val="00933126"/>
    <w:rsid w:val="009333F0"/>
    <w:rsid w:val="00933644"/>
    <w:rsid w:val="00933A07"/>
    <w:rsid w:val="00933D58"/>
    <w:rsid w:val="00933E14"/>
    <w:rsid w:val="00934966"/>
    <w:rsid w:val="00934B81"/>
    <w:rsid w:val="00934C1A"/>
    <w:rsid w:val="009352FC"/>
    <w:rsid w:val="0093538C"/>
    <w:rsid w:val="009356B0"/>
    <w:rsid w:val="009358A3"/>
    <w:rsid w:val="00935930"/>
    <w:rsid w:val="00935971"/>
    <w:rsid w:val="009359EA"/>
    <w:rsid w:val="00935AFE"/>
    <w:rsid w:val="00935E9D"/>
    <w:rsid w:val="009365F7"/>
    <w:rsid w:val="009366CD"/>
    <w:rsid w:val="0093680E"/>
    <w:rsid w:val="0093689E"/>
    <w:rsid w:val="00936B12"/>
    <w:rsid w:val="00936C6D"/>
    <w:rsid w:val="009370DE"/>
    <w:rsid w:val="0093716E"/>
    <w:rsid w:val="009372B6"/>
    <w:rsid w:val="00937383"/>
    <w:rsid w:val="0093772D"/>
    <w:rsid w:val="00937745"/>
    <w:rsid w:val="009378AC"/>
    <w:rsid w:val="00937952"/>
    <w:rsid w:val="00937FD5"/>
    <w:rsid w:val="00940041"/>
    <w:rsid w:val="00940487"/>
    <w:rsid w:val="00940790"/>
    <w:rsid w:val="00940C7D"/>
    <w:rsid w:val="00940FC9"/>
    <w:rsid w:val="0094124E"/>
    <w:rsid w:val="00941748"/>
    <w:rsid w:val="00941CE5"/>
    <w:rsid w:val="00941E88"/>
    <w:rsid w:val="00941ECB"/>
    <w:rsid w:val="00941F67"/>
    <w:rsid w:val="00941F82"/>
    <w:rsid w:val="009425C4"/>
    <w:rsid w:val="009425D6"/>
    <w:rsid w:val="0094266E"/>
    <w:rsid w:val="00942826"/>
    <w:rsid w:val="00942850"/>
    <w:rsid w:val="0094298B"/>
    <w:rsid w:val="009429C9"/>
    <w:rsid w:val="00942B4B"/>
    <w:rsid w:val="00942B9D"/>
    <w:rsid w:val="00942C07"/>
    <w:rsid w:val="00942FF4"/>
    <w:rsid w:val="009430BA"/>
    <w:rsid w:val="00943232"/>
    <w:rsid w:val="00943253"/>
    <w:rsid w:val="00943529"/>
    <w:rsid w:val="00943530"/>
    <w:rsid w:val="00943595"/>
    <w:rsid w:val="009436B6"/>
    <w:rsid w:val="00943C0D"/>
    <w:rsid w:val="00943E40"/>
    <w:rsid w:val="00943FB6"/>
    <w:rsid w:val="00944223"/>
    <w:rsid w:val="00944564"/>
    <w:rsid w:val="00944B31"/>
    <w:rsid w:val="00944B50"/>
    <w:rsid w:val="00944E32"/>
    <w:rsid w:val="00944EAE"/>
    <w:rsid w:val="0094501D"/>
    <w:rsid w:val="009452B8"/>
    <w:rsid w:val="009457B6"/>
    <w:rsid w:val="00945A69"/>
    <w:rsid w:val="00945CA6"/>
    <w:rsid w:val="00945D52"/>
    <w:rsid w:val="00945DA1"/>
    <w:rsid w:val="00945ED0"/>
    <w:rsid w:val="0094609A"/>
    <w:rsid w:val="0094612D"/>
    <w:rsid w:val="009461C3"/>
    <w:rsid w:val="00946288"/>
    <w:rsid w:val="0094651D"/>
    <w:rsid w:val="00946850"/>
    <w:rsid w:val="00946BFC"/>
    <w:rsid w:val="00946C06"/>
    <w:rsid w:val="00946EDD"/>
    <w:rsid w:val="00947184"/>
    <w:rsid w:val="0094735E"/>
    <w:rsid w:val="00947373"/>
    <w:rsid w:val="009502B6"/>
    <w:rsid w:val="0095065A"/>
    <w:rsid w:val="009509E8"/>
    <w:rsid w:val="00950D45"/>
    <w:rsid w:val="00950E67"/>
    <w:rsid w:val="0095129D"/>
    <w:rsid w:val="00951567"/>
    <w:rsid w:val="0095165E"/>
    <w:rsid w:val="00951872"/>
    <w:rsid w:val="00951A75"/>
    <w:rsid w:val="00951B8B"/>
    <w:rsid w:val="00951E03"/>
    <w:rsid w:val="009524C2"/>
    <w:rsid w:val="00952756"/>
    <w:rsid w:val="00952930"/>
    <w:rsid w:val="00952B83"/>
    <w:rsid w:val="00952E2A"/>
    <w:rsid w:val="00953770"/>
    <w:rsid w:val="0095390E"/>
    <w:rsid w:val="00953BCF"/>
    <w:rsid w:val="00953CC8"/>
    <w:rsid w:val="00953DAA"/>
    <w:rsid w:val="00954058"/>
    <w:rsid w:val="00954748"/>
    <w:rsid w:val="0095489D"/>
    <w:rsid w:val="009548B7"/>
    <w:rsid w:val="009548FB"/>
    <w:rsid w:val="00954941"/>
    <w:rsid w:val="00954A48"/>
    <w:rsid w:val="00954BF7"/>
    <w:rsid w:val="00954DC6"/>
    <w:rsid w:val="00954E4A"/>
    <w:rsid w:val="009550A8"/>
    <w:rsid w:val="009552F0"/>
    <w:rsid w:val="0095530C"/>
    <w:rsid w:val="00955551"/>
    <w:rsid w:val="009555E4"/>
    <w:rsid w:val="00955779"/>
    <w:rsid w:val="0095578A"/>
    <w:rsid w:val="00955B95"/>
    <w:rsid w:val="00955CCD"/>
    <w:rsid w:val="00955F04"/>
    <w:rsid w:val="009562DB"/>
    <w:rsid w:val="0095646E"/>
    <w:rsid w:val="00956560"/>
    <w:rsid w:val="00956683"/>
    <w:rsid w:val="00956747"/>
    <w:rsid w:val="00956849"/>
    <w:rsid w:val="009569CD"/>
    <w:rsid w:val="00956A47"/>
    <w:rsid w:val="00956BE0"/>
    <w:rsid w:val="00956C7B"/>
    <w:rsid w:val="00956D24"/>
    <w:rsid w:val="00956DD5"/>
    <w:rsid w:val="0095709B"/>
    <w:rsid w:val="009570C1"/>
    <w:rsid w:val="00957A03"/>
    <w:rsid w:val="00957A1A"/>
    <w:rsid w:val="00957AB4"/>
    <w:rsid w:val="00957B3B"/>
    <w:rsid w:val="00957C5E"/>
    <w:rsid w:val="00957C6A"/>
    <w:rsid w:val="00957D98"/>
    <w:rsid w:val="00960002"/>
    <w:rsid w:val="00960039"/>
    <w:rsid w:val="009602A9"/>
    <w:rsid w:val="00960CDC"/>
    <w:rsid w:val="00960F66"/>
    <w:rsid w:val="00961249"/>
    <w:rsid w:val="009612D5"/>
    <w:rsid w:val="009614C0"/>
    <w:rsid w:val="009615BA"/>
    <w:rsid w:val="0096169B"/>
    <w:rsid w:val="009616FB"/>
    <w:rsid w:val="00961C2F"/>
    <w:rsid w:val="00961C35"/>
    <w:rsid w:val="00961D77"/>
    <w:rsid w:val="00961EA5"/>
    <w:rsid w:val="009621C6"/>
    <w:rsid w:val="00962247"/>
    <w:rsid w:val="0096259F"/>
    <w:rsid w:val="0096260C"/>
    <w:rsid w:val="009627EF"/>
    <w:rsid w:val="009629FF"/>
    <w:rsid w:val="00962A03"/>
    <w:rsid w:val="00962E42"/>
    <w:rsid w:val="00962E4A"/>
    <w:rsid w:val="00962E98"/>
    <w:rsid w:val="0096304F"/>
    <w:rsid w:val="00963342"/>
    <w:rsid w:val="009633E3"/>
    <w:rsid w:val="00963509"/>
    <w:rsid w:val="00963512"/>
    <w:rsid w:val="0096399F"/>
    <w:rsid w:val="00963A29"/>
    <w:rsid w:val="00963A9F"/>
    <w:rsid w:val="00963C44"/>
    <w:rsid w:val="00964641"/>
    <w:rsid w:val="00964820"/>
    <w:rsid w:val="00965127"/>
    <w:rsid w:val="00965195"/>
    <w:rsid w:val="0096572D"/>
    <w:rsid w:val="00965BB2"/>
    <w:rsid w:val="00965C0A"/>
    <w:rsid w:val="00965E7E"/>
    <w:rsid w:val="009660B5"/>
    <w:rsid w:val="0096618B"/>
    <w:rsid w:val="0096622D"/>
    <w:rsid w:val="0096627B"/>
    <w:rsid w:val="00966533"/>
    <w:rsid w:val="009666CD"/>
    <w:rsid w:val="00966A14"/>
    <w:rsid w:val="00966D0E"/>
    <w:rsid w:val="00966E40"/>
    <w:rsid w:val="00966F1C"/>
    <w:rsid w:val="009671E9"/>
    <w:rsid w:val="00967411"/>
    <w:rsid w:val="009674C6"/>
    <w:rsid w:val="00967513"/>
    <w:rsid w:val="0096751E"/>
    <w:rsid w:val="00967977"/>
    <w:rsid w:val="00967B1D"/>
    <w:rsid w:val="00967DE9"/>
    <w:rsid w:val="00967E7C"/>
    <w:rsid w:val="00970209"/>
    <w:rsid w:val="00970311"/>
    <w:rsid w:val="009703A0"/>
    <w:rsid w:val="009704C6"/>
    <w:rsid w:val="0097065D"/>
    <w:rsid w:val="00970B63"/>
    <w:rsid w:val="00970BB3"/>
    <w:rsid w:val="00970CDF"/>
    <w:rsid w:val="00970DA4"/>
    <w:rsid w:val="00970F35"/>
    <w:rsid w:val="0097108C"/>
    <w:rsid w:val="009710A0"/>
    <w:rsid w:val="00971262"/>
    <w:rsid w:val="00971B12"/>
    <w:rsid w:val="00971C80"/>
    <w:rsid w:val="00971D0B"/>
    <w:rsid w:val="00971D62"/>
    <w:rsid w:val="00971ED1"/>
    <w:rsid w:val="0097232C"/>
    <w:rsid w:val="0097232D"/>
    <w:rsid w:val="00972467"/>
    <w:rsid w:val="009724B8"/>
    <w:rsid w:val="009728B7"/>
    <w:rsid w:val="00972D69"/>
    <w:rsid w:val="00972D81"/>
    <w:rsid w:val="00972F34"/>
    <w:rsid w:val="00973229"/>
    <w:rsid w:val="009733B6"/>
    <w:rsid w:val="00973477"/>
    <w:rsid w:val="00973859"/>
    <w:rsid w:val="009739F7"/>
    <w:rsid w:val="00973A38"/>
    <w:rsid w:val="00973B91"/>
    <w:rsid w:val="00973DE8"/>
    <w:rsid w:val="00973E45"/>
    <w:rsid w:val="00973ED2"/>
    <w:rsid w:val="00973F99"/>
    <w:rsid w:val="009740EB"/>
    <w:rsid w:val="0097419B"/>
    <w:rsid w:val="00974320"/>
    <w:rsid w:val="0097438E"/>
    <w:rsid w:val="009745AB"/>
    <w:rsid w:val="00974CDC"/>
    <w:rsid w:val="00974E5D"/>
    <w:rsid w:val="00974ED3"/>
    <w:rsid w:val="0097502D"/>
    <w:rsid w:val="009752E7"/>
    <w:rsid w:val="00975353"/>
    <w:rsid w:val="0097563E"/>
    <w:rsid w:val="00975B7A"/>
    <w:rsid w:val="009761B8"/>
    <w:rsid w:val="00976804"/>
    <w:rsid w:val="00976986"/>
    <w:rsid w:val="00976E6B"/>
    <w:rsid w:val="00977157"/>
    <w:rsid w:val="009771D1"/>
    <w:rsid w:val="0097722E"/>
    <w:rsid w:val="009772BB"/>
    <w:rsid w:val="009773C4"/>
    <w:rsid w:val="00977587"/>
    <w:rsid w:val="00977655"/>
    <w:rsid w:val="0097770E"/>
    <w:rsid w:val="00977761"/>
    <w:rsid w:val="009777E1"/>
    <w:rsid w:val="00977866"/>
    <w:rsid w:val="009778A4"/>
    <w:rsid w:val="00977A6C"/>
    <w:rsid w:val="00977B1F"/>
    <w:rsid w:val="00977C3C"/>
    <w:rsid w:val="00977DD7"/>
    <w:rsid w:val="009801B7"/>
    <w:rsid w:val="009804D7"/>
    <w:rsid w:val="0098067D"/>
    <w:rsid w:val="009807B9"/>
    <w:rsid w:val="00980E11"/>
    <w:rsid w:val="00981436"/>
    <w:rsid w:val="00981652"/>
    <w:rsid w:val="00981DC5"/>
    <w:rsid w:val="00981FD9"/>
    <w:rsid w:val="009821EA"/>
    <w:rsid w:val="00982263"/>
    <w:rsid w:val="009823DE"/>
    <w:rsid w:val="009823F8"/>
    <w:rsid w:val="00982505"/>
    <w:rsid w:val="0098276C"/>
    <w:rsid w:val="00982772"/>
    <w:rsid w:val="00982A27"/>
    <w:rsid w:val="00982B6A"/>
    <w:rsid w:val="00982D1C"/>
    <w:rsid w:val="00982D9F"/>
    <w:rsid w:val="00982F19"/>
    <w:rsid w:val="00982F1E"/>
    <w:rsid w:val="009830D3"/>
    <w:rsid w:val="009831A4"/>
    <w:rsid w:val="0098382B"/>
    <w:rsid w:val="00983B07"/>
    <w:rsid w:val="00983B3A"/>
    <w:rsid w:val="00983BFF"/>
    <w:rsid w:val="00983D0E"/>
    <w:rsid w:val="00983EFC"/>
    <w:rsid w:val="00984223"/>
    <w:rsid w:val="009846AD"/>
    <w:rsid w:val="00984754"/>
    <w:rsid w:val="0098485B"/>
    <w:rsid w:val="00984995"/>
    <w:rsid w:val="00984A8A"/>
    <w:rsid w:val="0098516F"/>
    <w:rsid w:val="00985673"/>
    <w:rsid w:val="00985A59"/>
    <w:rsid w:val="00985A6F"/>
    <w:rsid w:val="00985F5E"/>
    <w:rsid w:val="00986268"/>
    <w:rsid w:val="009862CE"/>
    <w:rsid w:val="00986319"/>
    <w:rsid w:val="009863F5"/>
    <w:rsid w:val="00986DA8"/>
    <w:rsid w:val="009871AD"/>
    <w:rsid w:val="0098732F"/>
    <w:rsid w:val="009875AC"/>
    <w:rsid w:val="009875F7"/>
    <w:rsid w:val="009876B3"/>
    <w:rsid w:val="009877CD"/>
    <w:rsid w:val="00987A9E"/>
    <w:rsid w:val="0099052D"/>
    <w:rsid w:val="009905FF"/>
    <w:rsid w:val="00990772"/>
    <w:rsid w:val="0099086E"/>
    <w:rsid w:val="00990FA3"/>
    <w:rsid w:val="00991409"/>
    <w:rsid w:val="0099142B"/>
    <w:rsid w:val="0099146E"/>
    <w:rsid w:val="00991D9B"/>
    <w:rsid w:val="00991FC9"/>
    <w:rsid w:val="0099216D"/>
    <w:rsid w:val="009921BE"/>
    <w:rsid w:val="009922F6"/>
    <w:rsid w:val="00992332"/>
    <w:rsid w:val="009924E0"/>
    <w:rsid w:val="00992536"/>
    <w:rsid w:val="009926F5"/>
    <w:rsid w:val="00992A1E"/>
    <w:rsid w:val="00992E2E"/>
    <w:rsid w:val="0099305C"/>
    <w:rsid w:val="00993436"/>
    <w:rsid w:val="00993579"/>
    <w:rsid w:val="00993C4B"/>
    <w:rsid w:val="00993D79"/>
    <w:rsid w:val="00993FCF"/>
    <w:rsid w:val="0099403F"/>
    <w:rsid w:val="00994082"/>
    <w:rsid w:val="00994196"/>
    <w:rsid w:val="00994205"/>
    <w:rsid w:val="0099443B"/>
    <w:rsid w:val="0099447B"/>
    <w:rsid w:val="0099447C"/>
    <w:rsid w:val="00994769"/>
    <w:rsid w:val="00994A89"/>
    <w:rsid w:val="00994FCD"/>
    <w:rsid w:val="009951FC"/>
    <w:rsid w:val="009954E7"/>
    <w:rsid w:val="00995588"/>
    <w:rsid w:val="0099559E"/>
    <w:rsid w:val="009956A9"/>
    <w:rsid w:val="00995B24"/>
    <w:rsid w:val="00995E1F"/>
    <w:rsid w:val="00996065"/>
    <w:rsid w:val="0099614A"/>
    <w:rsid w:val="0099615E"/>
    <w:rsid w:val="009961B3"/>
    <w:rsid w:val="00996746"/>
    <w:rsid w:val="00996CBE"/>
    <w:rsid w:val="00996D43"/>
    <w:rsid w:val="00996DBD"/>
    <w:rsid w:val="00996F82"/>
    <w:rsid w:val="009970EE"/>
    <w:rsid w:val="00997240"/>
    <w:rsid w:val="009972CE"/>
    <w:rsid w:val="00997757"/>
    <w:rsid w:val="00997908"/>
    <w:rsid w:val="0099793C"/>
    <w:rsid w:val="00997A0A"/>
    <w:rsid w:val="00997C6F"/>
    <w:rsid w:val="00997FFD"/>
    <w:rsid w:val="009A0191"/>
    <w:rsid w:val="009A0608"/>
    <w:rsid w:val="009A0A1E"/>
    <w:rsid w:val="009A0BCA"/>
    <w:rsid w:val="009A0FE7"/>
    <w:rsid w:val="009A1015"/>
    <w:rsid w:val="009A10DD"/>
    <w:rsid w:val="009A1204"/>
    <w:rsid w:val="009A134E"/>
    <w:rsid w:val="009A142F"/>
    <w:rsid w:val="009A1719"/>
    <w:rsid w:val="009A18EE"/>
    <w:rsid w:val="009A19C3"/>
    <w:rsid w:val="009A19CA"/>
    <w:rsid w:val="009A1AC0"/>
    <w:rsid w:val="009A1C48"/>
    <w:rsid w:val="009A1C88"/>
    <w:rsid w:val="009A2011"/>
    <w:rsid w:val="009A2214"/>
    <w:rsid w:val="009A2897"/>
    <w:rsid w:val="009A28E2"/>
    <w:rsid w:val="009A28F2"/>
    <w:rsid w:val="009A2A1A"/>
    <w:rsid w:val="009A2B29"/>
    <w:rsid w:val="009A2BA4"/>
    <w:rsid w:val="009A2D59"/>
    <w:rsid w:val="009A2D63"/>
    <w:rsid w:val="009A2E4F"/>
    <w:rsid w:val="009A3091"/>
    <w:rsid w:val="009A3138"/>
    <w:rsid w:val="009A326D"/>
    <w:rsid w:val="009A35A0"/>
    <w:rsid w:val="009A3794"/>
    <w:rsid w:val="009A3D7A"/>
    <w:rsid w:val="009A3FCC"/>
    <w:rsid w:val="009A401B"/>
    <w:rsid w:val="009A426E"/>
    <w:rsid w:val="009A4439"/>
    <w:rsid w:val="009A4677"/>
    <w:rsid w:val="009A47FC"/>
    <w:rsid w:val="009A485E"/>
    <w:rsid w:val="009A4AB8"/>
    <w:rsid w:val="009A4C81"/>
    <w:rsid w:val="009A4D74"/>
    <w:rsid w:val="009A4DEA"/>
    <w:rsid w:val="009A52FF"/>
    <w:rsid w:val="009A54AA"/>
    <w:rsid w:val="009A5731"/>
    <w:rsid w:val="009A5BDE"/>
    <w:rsid w:val="009A5C41"/>
    <w:rsid w:val="009A5D42"/>
    <w:rsid w:val="009A5D9A"/>
    <w:rsid w:val="009A5DCB"/>
    <w:rsid w:val="009A5DCD"/>
    <w:rsid w:val="009A5EC9"/>
    <w:rsid w:val="009A5F04"/>
    <w:rsid w:val="009A6094"/>
    <w:rsid w:val="009A61BE"/>
    <w:rsid w:val="009A65CE"/>
    <w:rsid w:val="009A660E"/>
    <w:rsid w:val="009A6780"/>
    <w:rsid w:val="009A696D"/>
    <w:rsid w:val="009A6B95"/>
    <w:rsid w:val="009A70BE"/>
    <w:rsid w:val="009A76D8"/>
    <w:rsid w:val="009A78B6"/>
    <w:rsid w:val="009A7B90"/>
    <w:rsid w:val="009A7C7C"/>
    <w:rsid w:val="009A7DBA"/>
    <w:rsid w:val="009B00DB"/>
    <w:rsid w:val="009B032E"/>
    <w:rsid w:val="009B0633"/>
    <w:rsid w:val="009B07E7"/>
    <w:rsid w:val="009B0B25"/>
    <w:rsid w:val="009B0FBE"/>
    <w:rsid w:val="009B11A1"/>
    <w:rsid w:val="009B137E"/>
    <w:rsid w:val="009B17C5"/>
    <w:rsid w:val="009B184C"/>
    <w:rsid w:val="009B1928"/>
    <w:rsid w:val="009B1A6C"/>
    <w:rsid w:val="009B1ABF"/>
    <w:rsid w:val="009B1B94"/>
    <w:rsid w:val="009B1BDD"/>
    <w:rsid w:val="009B1EA8"/>
    <w:rsid w:val="009B1F18"/>
    <w:rsid w:val="009B1FEF"/>
    <w:rsid w:val="009B2305"/>
    <w:rsid w:val="009B24BA"/>
    <w:rsid w:val="009B2784"/>
    <w:rsid w:val="009B29E7"/>
    <w:rsid w:val="009B2DAE"/>
    <w:rsid w:val="009B2E84"/>
    <w:rsid w:val="009B32D5"/>
    <w:rsid w:val="009B3590"/>
    <w:rsid w:val="009B3971"/>
    <w:rsid w:val="009B3BDF"/>
    <w:rsid w:val="009B3EA9"/>
    <w:rsid w:val="009B3EC6"/>
    <w:rsid w:val="009B438E"/>
    <w:rsid w:val="009B451B"/>
    <w:rsid w:val="009B4616"/>
    <w:rsid w:val="009B49F6"/>
    <w:rsid w:val="009B4C00"/>
    <w:rsid w:val="009B4C40"/>
    <w:rsid w:val="009B4CED"/>
    <w:rsid w:val="009B4D49"/>
    <w:rsid w:val="009B4D4F"/>
    <w:rsid w:val="009B5452"/>
    <w:rsid w:val="009B57B8"/>
    <w:rsid w:val="009B5946"/>
    <w:rsid w:val="009B5E0C"/>
    <w:rsid w:val="009B5F07"/>
    <w:rsid w:val="009B620B"/>
    <w:rsid w:val="009B629C"/>
    <w:rsid w:val="009B62DC"/>
    <w:rsid w:val="009B650F"/>
    <w:rsid w:val="009B6652"/>
    <w:rsid w:val="009B6808"/>
    <w:rsid w:val="009B6C39"/>
    <w:rsid w:val="009B7553"/>
    <w:rsid w:val="009B7692"/>
    <w:rsid w:val="009B7BA0"/>
    <w:rsid w:val="009C0E9F"/>
    <w:rsid w:val="009C0FA1"/>
    <w:rsid w:val="009C1374"/>
    <w:rsid w:val="009C179D"/>
    <w:rsid w:val="009C1A2A"/>
    <w:rsid w:val="009C1D7D"/>
    <w:rsid w:val="009C1E1A"/>
    <w:rsid w:val="009C1F98"/>
    <w:rsid w:val="009C2011"/>
    <w:rsid w:val="009C22E7"/>
    <w:rsid w:val="009C25AC"/>
    <w:rsid w:val="009C268E"/>
    <w:rsid w:val="009C28A0"/>
    <w:rsid w:val="009C2968"/>
    <w:rsid w:val="009C29FC"/>
    <w:rsid w:val="009C2A7B"/>
    <w:rsid w:val="009C2A8E"/>
    <w:rsid w:val="009C2BAA"/>
    <w:rsid w:val="009C2DA8"/>
    <w:rsid w:val="009C2DF1"/>
    <w:rsid w:val="009C39B7"/>
    <w:rsid w:val="009C3B19"/>
    <w:rsid w:val="009C3E65"/>
    <w:rsid w:val="009C43CC"/>
    <w:rsid w:val="009C4432"/>
    <w:rsid w:val="009C47CD"/>
    <w:rsid w:val="009C4852"/>
    <w:rsid w:val="009C4BB8"/>
    <w:rsid w:val="009C4D7F"/>
    <w:rsid w:val="009C4E0E"/>
    <w:rsid w:val="009C4E64"/>
    <w:rsid w:val="009C4E72"/>
    <w:rsid w:val="009C5078"/>
    <w:rsid w:val="009C5391"/>
    <w:rsid w:val="009C5504"/>
    <w:rsid w:val="009C57F8"/>
    <w:rsid w:val="009C5C0C"/>
    <w:rsid w:val="009C5E44"/>
    <w:rsid w:val="009C5EAB"/>
    <w:rsid w:val="009C5F0B"/>
    <w:rsid w:val="009C6408"/>
    <w:rsid w:val="009C641C"/>
    <w:rsid w:val="009C654B"/>
    <w:rsid w:val="009C65A2"/>
    <w:rsid w:val="009C6670"/>
    <w:rsid w:val="009C66AE"/>
    <w:rsid w:val="009C6A93"/>
    <w:rsid w:val="009C6B09"/>
    <w:rsid w:val="009C6D4A"/>
    <w:rsid w:val="009C7134"/>
    <w:rsid w:val="009C7236"/>
    <w:rsid w:val="009C72DC"/>
    <w:rsid w:val="009C73BA"/>
    <w:rsid w:val="009C7658"/>
    <w:rsid w:val="009C782F"/>
    <w:rsid w:val="009C787D"/>
    <w:rsid w:val="009C7927"/>
    <w:rsid w:val="009C79FA"/>
    <w:rsid w:val="009C7C20"/>
    <w:rsid w:val="009C7C91"/>
    <w:rsid w:val="009C7DC6"/>
    <w:rsid w:val="009D0589"/>
    <w:rsid w:val="009D06BB"/>
    <w:rsid w:val="009D0825"/>
    <w:rsid w:val="009D094C"/>
    <w:rsid w:val="009D0C3B"/>
    <w:rsid w:val="009D0E9E"/>
    <w:rsid w:val="009D1088"/>
    <w:rsid w:val="009D1125"/>
    <w:rsid w:val="009D12CF"/>
    <w:rsid w:val="009D14A6"/>
    <w:rsid w:val="009D172D"/>
    <w:rsid w:val="009D17D0"/>
    <w:rsid w:val="009D198D"/>
    <w:rsid w:val="009D1A46"/>
    <w:rsid w:val="009D1BB9"/>
    <w:rsid w:val="009D1CEF"/>
    <w:rsid w:val="009D1D97"/>
    <w:rsid w:val="009D2595"/>
    <w:rsid w:val="009D260A"/>
    <w:rsid w:val="009D261F"/>
    <w:rsid w:val="009D292A"/>
    <w:rsid w:val="009D299E"/>
    <w:rsid w:val="009D29BD"/>
    <w:rsid w:val="009D2F53"/>
    <w:rsid w:val="009D30EE"/>
    <w:rsid w:val="009D324A"/>
    <w:rsid w:val="009D3281"/>
    <w:rsid w:val="009D32FE"/>
    <w:rsid w:val="009D337F"/>
    <w:rsid w:val="009D35B3"/>
    <w:rsid w:val="009D3672"/>
    <w:rsid w:val="009D36B1"/>
    <w:rsid w:val="009D3908"/>
    <w:rsid w:val="009D3A76"/>
    <w:rsid w:val="009D3F78"/>
    <w:rsid w:val="009D4052"/>
    <w:rsid w:val="009D453E"/>
    <w:rsid w:val="009D4657"/>
    <w:rsid w:val="009D4681"/>
    <w:rsid w:val="009D4A8B"/>
    <w:rsid w:val="009D4C2B"/>
    <w:rsid w:val="009D4D92"/>
    <w:rsid w:val="009D522F"/>
    <w:rsid w:val="009D5293"/>
    <w:rsid w:val="009D5974"/>
    <w:rsid w:val="009D5D70"/>
    <w:rsid w:val="009D60A2"/>
    <w:rsid w:val="009D61CF"/>
    <w:rsid w:val="009D633A"/>
    <w:rsid w:val="009D6395"/>
    <w:rsid w:val="009D63FA"/>
    <w:rsid w:val="009D6503"/>
    <w:rsid w:val="009D6508"/>
    <w:rsid w:val="009D67CD"/>
    <w:rsid w:val="009D71C0"/>
    <w:rsid w:val="009D7207"/>
    <w:rsid w:val="009D728E"/>
    <w:rsid w:val="009D7389"/>
    <w:rsid w:val="009D749F"/>
    <w:rsid w:val="009D77B0"/>
    <w:rsid w:val="009D7879"/>
    <w:rsid w:val="009D78B1"/>
    <w:rsid w:val="009D79B1"/>
    <w:rsid w:val="009D7B02"/>
    <w:rsid w:val="009D7BF5"/>
    <w:rsid w:val="009D7C69"/>
    <w:rsid w:val="009D7CAF"/>
    <w:rsid w:val="009E0465"/>
    <w:rsid w:val="009E053A"/>
    <w:rsid w:val="009E06BA"/>
    <w:rsid w:val="009E073D"/>
    <w:rsid w:val="009E07B2"/>
    <w:rsid w:val="009E08D6"/>
    <w:rsid w:val="009E0A59"/>
    <w:rsid w:val="009E0B6A"/>
    <w:rsid w:val="009E0D78"/>
    <w:rsid w:val="009E1093"/>
    <w:rsid w:val="009E10AF"/>
    <w:rsid w:val="009E10EF"/>
    <w:rsid w:val="009E15C1"/>
    <w:rsid w:val="009E1678"/>
    <w:rsid w:val="009E251B"/>
    <w:rsid w:val="009E26E3"/>
    <w:rsid w:val="009E27CF"/>
    <w:rsid w:val="009E29DF"/>
    <w:rsid w:val="009E2ADD"/>
    <w:rsid w:val="009E2B45"/>
    <w:rsid w:val="009E2C1F"/>
    <w:rsid w:val="009E2C91"/>
    <w:rsid w:val="009E2E65"/>
    <w:rsid w:val="009E32B3"/>
    <w:rsid w:val="009E3869"/>
    <w:rsid w:val="009E3B76"/>
    <w:rsid w:val="009E3F33"/>
    <w:rsid w:val="009E4172"/>
    <w:rsid w:val="009E4395"/>
    <w:rsid w:val="009E445E"/>
    <w:rsid w:val="009E469A"/>
    <w:rsid w:val="009E46C6"/>
    <w:rsid w:val="009E4751"/>
    <w:rsid w:val="009E477C"/>
    <w:rsid w:val="009E478B"/>
    <w:rsid w:val="009E4889"/>
    <w:rsid w:val="009E4C40"/>
    <w:rsid w:val="009E4E30"/>
    <w:rsid w:val="009E4FAE"/>
    <w:rsid w:val="009E50C8"/>
    <w:rsid w:val="009E5326"/>
    <w:rsid w:val="009E5328"/>
    <w:rsid w:val="009E5A77"/>
    <w:rsid w:val="009E5B3F"/>
    <w:rsid w:val="009E5B79"/>
    <w:rsid w:val="009E5D0D"/>
    <w:rsid w:val="009E62B1"/>
    <w:rsid w:val="009E65AC"/>
    <w:rsid w:val="009E65D1"/>
    <w:rsid w:val="009E68C2"/>
    <w:rsid w:val="009E6A62"/>
    <w:rsid w:val="009E6B7F"/>
    <w:rsid w:val="009E6BB7"/>
    <w:rsid w:val="009E6BEE"/>
    <w:rsid w:val="009E6CC1"/>
    <w:rsid w:val="009E6CE2"/>
    <w:rsid w:val="009E6DBA"/>
    <w:rsid w:val="009E6E6A"/>
    <w:rsid w:val="009E7028"/>
    <w:rsid w:val="009E71B9"/>
    <w:rsid w:val="009E7585"/>
    <w:rsid w:val="009E76C4"/>
    <w:rsid w:val="009E7731"/>
    <w:rsid w:val="009E7ABF"/>
    <w:rsid w:val="009E7AD6"/>
    <w:rsid w:val="009E7B46"/>
    <w:rsid w:val="009E7C45"/>
    <w:rsid w:val="009E7FDE"/>
    <w:rsid w:val="009F007F"/>
    <w:rsid w:val="009F00AA"/>
    <w:rsid w:val="009F0213"/>
    <w:rsid w:val="009F04C9"/>
    <w:rsid w:val="009F0516"/>
    <w:rsid w:val="009F0737"/>
    <w:rsid w:val="009F07D7"/>
    <w:rsid w:val="009F0A82"/>
    <w:rsid w:val="009F0FFC"/>
    <w:rsid w:val="009F1053"/>
    <w:rsid w:val="009F10AC"/>
    <w:rsid w:val="009F139F"/>
    <w:rsid w:val="009F155F"/>
    <w:rsid w:val="009F177E"/>
    <w:rsid w:val="009F194B"/>
    <w:rsid w:val="009F200A"/>
    <w:rsid w:val="009F2176"/>
    <w:rsid w:val="009F2183"/>
    <w:rsid w:val="009F22EA"/>
    <w:rsid w:val="009F2316"/>
    <w:rsid w:val="009F250C"/>
    <w:rsid w:val="009F2582"/>
    <w:rsid w:val="009F29F1"/>
    <w:rsid w:val="009F2A0E"/>
    <w:rsid w:val="009F2E17"/>
    <w:rsid w:val="009F2E1B"/>
    <w:rsid w:val="009F2E7F"/>
    <w:rsid w:val="009F2F4F"/>
    <w:rsid w:val="009F30A8"/>
    <w:rsid w:val="009F30DC"/>
    <w:rsid w:val="009F32DD"/>
    <w:rsid w:val="009F33E1"/>
    <w:rsid w:val="009F36BB"/>
    <w:rsid w:val="009F3841"/>
    <w:rsid w:val="009F3DE0"/>
    <w:rsid w:val="009F3E53"/>
    <w:rsid w:val="009F42EF"/>
    <w:rsid w:val="009F4440"/>
    <w:rsid w:val="009F4AE9"/>
    <w:rsid w:val="009F4B44"/>
    <w:rsid w:val="009F4C3F"/>
    <w:rsid w:val="009F4EA2"/>
    <w:rsid w:val="009F4FC6"/>
    <w:rsid w:val="009F5160"/>
    <w:rsid w:val="009F51F8"/>
    <w:rsid w:val="009F5A65"/>
    <w:rsid w:val="009F5A6B"/>
    <w:rsid w:val="009F5CB6"/>
    <w:rsid w:val="009F633B"/>
    <w:rsid w:val="009F66A9"/>
    <w:rsid w:val="009F693E"/>
    <w:rsid w:val="009F6B2B"/>
    <w:rsid w:val="009F6B31"/>
    <w:rsid w:val="009F6B40"/>
    <w:rsid w:val="009F6DE5"/>
    <w:rsid w:val="009F6F0C"/>
    <w:rsid w:val="009F7131"/>
    <w:rsid w:val="009F793F"/>
    <w:rsid w:val="009F79E2"/>
    <w:rsid w:val="009F7AAD"/>
    <w:rsid w:val="009F7CA6"/>
    <w:rsid w:val="009F7D5F"/>
    <w:rsid w:val="00A000F8"/>
    <w:rsid w:val="00A0017D"/>
    <w:rsid w:val="00A001FD"/>
    <w:rsid w:val="00A002A2"/>
    <w:rsid w:val="00A006B0"/>
    <w:rsid w:val="00A006BA"/>
    <w:rsid w:val="00A008C7"/>
    <w:rsid w:val="00A009B9"/>
    <w:rsid w:val="00A00AD6"/>
    <w:rsid w:val="00A00C8D"/>
    <w:rsid w:val="00A00EA5"/>
    <w:rsid w:val="00A01698"/>
    <w:rsid w:val="00A01A55"/>
    <w:rsid w:val="00A01B2E"/>
    <w:rsid w:val="00A01B33"/>
    <w:rsid w:val="00A01BBB"/>
    <w:rsid w:val="00A01BCC"/>
    <w:rsid w:val="00A01E80"/>
    <w:rsid w:val="00A021AB"/>
    <w:rsid w:val="00A021BE"/>
    <w:rsid w:val="00A022B2"/>
    <w:rsid w:val="00A02311"/>
    <w:rsid w:val="00A0256B"/>
    <w:rsid w:val="00A02773"/>
    <w:rsid w:val="00A027A2"/>
    <w:rsid w:val="00A02857"/>
    <w:rsid w:val="00A02976"/>
    <w:rsid w:val="00A02C08"/>
    <w:rsid w:val="00A02FE1"/>
    <w:rsid w:val="00A03073"/>
    <w:rsid w:val="00A0379A"/>
    <w:rsid w:val="00A0398A"/>
    <w:rsid w:val="00A03EA0"/>
    <w:rsid w:val="00A03F1E"/>
    <w:rsid w:val="00A0442A"/>
    <w:rsid w:val="00A047C2"/>
    <w:rsid w:val="00A0588D"/>
    <w:rsid w:val="00A05A8C"/>
    <w:rsid w:val="00A05D95"/>
    <w:rsid w:val="00A05E7D"/>
    <w:rsid w:val="00A05FDF"/>
    <w:rsid w:val="00A06286"/>
    <w:rsid w:val="00A06696"/>
    <w:rsid w:val="00A067D9"/>
    <w:rsid w:val="00A068A2"/>
    <w:rsid w:val="00A06929"/>
    <w:rsid w:val="00A06C6B"/>
    <w:rsid w:val="00A06CF5"/>
    <w:rsid w:val="00A06D5D"/>
    <w:rsid w:val="00A06E0B"/>
    <w:rsid w:val="00A06E87"/>
    <w:rsid w:val="00A06EF9"/>
    <w:rsid w:val="00A06F2C"/>
    <w:rsid w:val="00A06F66"/>
    <w:rsid w:val="00A06FBF"/>
    <w:rsid w:val="00A0729E"/>
    <w:rsid w:val="00A072E9"/>
    <w:rsid w:val="00A073F7"/>
    <w:rsid w:val="00A07444"/>
    <w:rsid w:val="00A07622"/>
    <w:rsid w:val="00A076AC"/>
    <w:rsid w:val="00A07784"/>
    <w:rsid w:val="00A07B40"/>
    <w:rsid w:val="00A07B8F"/>
    <w:rsid w:val="00A07C12"/>
    <w:rsid w:val="00A07C4E"/>
    <w:rsid w:val="00A07E79"/>
    <w:rsid w:val="00A10011"/>
    <w:rsid w:val="00A10642"/>
    <w:rsid w:val="00A10857"/>
    <w:rsid w:val="00A10E8B"/>
    <w:rsid w:val="00A10F25"/>
    <w:rsid w:val="00A1101B"/>
    <w:rsid w:val="00A111DE"/>
    <w:rsid w:val="00A11789"/>
    <w:rsid w:val="00A1197F"/>
    <w:rsid w:val="00A11995"/>
    <w:rsid w:val="00A11BC1"/>
    <w:rsid w:val="00A11D50"/>
    <w:rsid w:val="00A11DED"/>
    <w:rsid w:val="00A1205C"/>
    <w:rsid w:val="00A1294E"/>
    <w:rsid w:val="00A12C96"/>
    <w:rsid w:val="00A12DED"/>
    <w:rsid w:val="00A12F73"/>
    <w:rsid w:val="00A1310C"/>
    <w:rsid w:val="00A1317B"/>
    <w:rsid w:val="00A132C1"/>
    <w:rsid w:val="00A133BA"/>
    <w:rsid w:val="00A134EF"/>
    <w:rsid w:val="00A13563"/>
    <w:rsid w:val="00A1357A"/>
    <w:rsid w:val="00A135FB"/>
    <w:rsid w:val="00A138D4"/>
    <w:rsid w:val="00A13AE2"/>
    <w:rsid w:val="00A13D58"/>
    <w:rsid w:val="00A13F3C"/>
    <w:rsid w:val="00A13F42"/>
    <w:rsid w:val="00A1427B"/>
    <w:rsid w:val="00A145F2"/>
    <w:rsid w:val="00A14C1C"/>
    <w:rsid w:val="00A150BE"/>
    <w:rsid w:val="00A15288"/>
    <w:rsid w:val="00A15343"/>
    <w:rsid w:val="00A15A30"/>
    <w:rsid w:val="00A15FA6"/>
    <w:rsid w:val="00A161E1"/>
    <w:rsid w:val="00A169A7"/>
    <w:rsid w:val="00A169B4"/>
    <w:rsid w:val="00A169D8"/>
    <w:rsid w:val="00A169E3"/>
    <w:rsid w:val="00A16B3B"/>
    <w:rsid w:val="00A16BB7"/>
    <w:rsid w:val="00A16C41"/>
    <w:rsid w:val="00A16E06"/>
    <w:rsid w:val="00A16F08"/>
    <w:rsid w:val="00A16F40"/>
    <w:rsid w:val="00A16FD5"/>
    <w:rsid w:val="00A1705E"/>
    <w:rsid w:val="00A1736B"/>
    <w:rsid w:val="00A173C8"/>
    <w:rsid w:val="00A173E1"/>
    <w:rsid w:val="00A17AFD"/>
    <w:rsid w:val="00A17C59"/>
    <w:rsid w:val="00A17D99"/>
    <w:rsid w:val="00A2004C"/>
    <w:rsid w:val="00A2013B"/>
    <w:rsid w:val="00A2018E"/>
    <w:rsid w:val="00A2024E"/>
    <w:rsid w:val="00A20319"/>
    <w:rsid w:val="00A20516"/>
    <w:rsid w:val="00A2051C"/>
    <w:rsid w:val="00A20704"/>
    <w:rsid w:val="00A20C43"/>
    <w:rsid w:val="00A21017"/>
    <w:rsid w:val="00A21136"/>
    <w:rsid w:val="00A21167"/>
    <w:rsid w:val="00A211D5"/>
    <w:rsid w:val="00A212BD"/>
    <w:rsid w:val="00A21401"/>
    <w:rsid w:val="00A21C28"/>
    <w:rsid w:val="00A21D24"/>
    <w:rsid w:val="00A21D2A"/>
    <w:rsid w:val="00A21E15"/>
    <w:rsid w:val="00A21F08"/>
    <w:rsid w:val="00A21F9B"/>
    <w:rsid w:val="00A2205E"/>
    <w:rsid w:val="00A220F8"/>
    <w:rsid w:val="00A224EC"/>
    <w:rsid w:val="00A2277D"/>
    <w:rsid w:val="00A2288A"/>
    <w:rsid w:val="00A22BBB"/>
    <w:rsid w:val="00A22BEA"/>
    <w:rsid w:val="00A22D46"/>
    <w:rsid w:val="00A22E12"/>
    <w:rsid w:val="00A2368C"/>
    <w:rsid w:val="00A236EA"/>
    <w:rsid w:val="00A2374E"/>
    <w:rsid w:val="00A23B33"/>
    <w:rsid w:val="00A23D7E"/>
    <w:rsid w:val="00A23FD4"/>
    <w:rsid w:val="00A24277"/>
    <w:rsid w:val="00A24383"/>
    <w:rsid w:val="00A247A3"/>
    <w:rsid w:val="00A24979"/>
    <w:rsid w:val="00A24B44"/>
    <w:rsid w:val="00A24E86"/>
    <w:rsid w:val="00A2509E"/>
    <w:rsid w:val="00A2523C"/>
    <w:rsid w:val="00A25777"/>
    <w:rsid w:val="00A257B5"/>
    <w:rsid w:val="00A257D7"/>
    <w:rsid w:val="00A258AF"/>
    <w:rsid w:val="00A25BEF"/>
    <w:rsid w:val="00A25BF1"/>
    <w:rsid w:val="00A25BFC"/>
    <w:rsid w:val="00A25CF7"/>
    <w:rsid w:val="00A25DE0"/>
    <w:rsid w:val="00A25E70"/>
    <w:rsid w:val="00A260CA"/>
    <w:rsid w:val="00A262F6"/>
    <w:rsid w:val="00A2637F"/>
    <w:rsid w:val="00A266AC"/>
    <w:rsid w:val="00A26703"/>
    <w:rsid w:val="00A26757"/>
    <w:rsid w:val="00A26D36"/>
    <w:rsid w:val="00A26D43"/>
    <w:rsid w:val="00A2716E"/>
    <w:rsid w:val="00A27235"/>
    <w:rsid w:val="00A273B9"/>
    <w:rsid w:val="00A273DC"/>
    <w:rsid w:val="00A274D5"/>
    <w:rsid w:val="00A274EB"/>
    <w:rsid w:val="00A2750B"/>
    <w:rsid w:val="00A2752C"/>
    <w:rsid w:val="00A2765D"/>
    <w:rsid w:val="00A2777A"/>
    <w:rsid w:val="00A277D2"/>
    <w:rsid w:val="00A27887"/>
    <w:rsid w:val="00A27E1A"/>
    <w:rsid w:val="00A27EA6"/>
    <w:rsid w:val="00A303B6"/>
    <w:rsid w:val="00A3077A"/>
    <w:rsid w:val="00A30794"/>
    <w:rsid w:val="00A307A1"/>
    <w:rsid w:val="00A30A7B"/>
    <w:rsid w:val="00A30B05"/>
    <w:rsid w:val="00A31368"/>
    <w:rsid w:val="00A31413"/>
    <w:rsid w:val="00A31970"/>
    <w:rsid w:val="00A31AB4"/>
    <w:rsid w:val="00A31B39"/>
    <w:rsid w:val="00A31BA6"/>
    <w:rsid w:val="00A31E5B"/>
    <w:rsid w:val="00A32234"/>
    <w:rsid w:val="00A32300"/>
    <w:rsid w:val="00A32387"/>
    <w:rsid w:val="00A3242D"/>
    <w:rsid w:val="00A326A4"/>
    <w:rsid w:val="00A32A69"/>
    <w:rsid w:val="00A330BC"/>
    <w:rsid w:val="00A33699"/>
    <w:rsid w:val="00A33815"/>
    <w:rsid w:val="00A338F6"/>
    <w:rsid w:val="00A33ACD"/>
    <w:rsid w:val="00A33B8D"/>
    <w:rsid w:val="00A34054"/>
    <w:rsid w:val="00A34311"/>
    <w:rsid w:val="00A348DA"/>
    <w:rsid w:val="00A34CE6"/>
    <w:rsid w:val="00A34E91"/>
    <w:rsid w:val="00A35066"/>
    <w:rsid w:val="00A35068"/>
    <w:rsid w:val="00A351C9"/>
    <w:rsid w:val="00A351D9"/>
    <w:rsid w:val="00A35902"/>
    <w:rsid w:val="00A35BDD"/>
    <w:rsid w:val="00A35C59"/>
    <w:rsid w:val="00A35D15"/>
    <w:rsid w:val="00A35D5C"/>
    <w:rsid w:val="00A35F6B"/>
    <w:rsid w:val="00A3632F"/>
    <w:rsid w:val="00A363A0"/>
    <w:rsid w:val="00A363E6"/>
    <w:rsid w:val="00A365E0"/>
    <w:rsid w:val="00A366F7"/>
    <w:rsid w:val="00A3676D"/>
    <w:rsid w:val="00A368DA"/>
    <w:rsid w:val="00A36A80"/>
    <w:rsid w:val="00A36BC8"/>
    <w:rsid w:val="00A36BD4"/>
    <w:rsid w:val="00A36C8D"/>
    <w:rsid w:val="00A36CB0"/>
    <w:rsid w:val="00A36F83"/>
    <w:rsid w:val="00A37183"/>
    <w:rsid w:val="00A3758B"/>
    <w:rsid w:val="00A37712"/>
    <w:rsid w:val="00A3775C"/>
    <w:rsid w:val="00A37783"/>
    <w:rsid w:val="00A37B1C"/>
    <w:rsid w:val="00A37BDA"/>
    <w:rsid w:val="00A37C8C"/>
    <w:rsid w:val="00A37F50"/>
    <w:rsid w:val="00A400A5"/>
    <w:rsid w:val="00A40156"/>
    <w:rsid w:val="00A402BB"/>
    <w:rsid w:val="00A4058C"/>
    <w:rsid w:val="00A40621"/>
    <w:rsid w:val="00A40700"/>
    <w:rsid w:val="00A409B9"/>
    <w:rsid w:val="00A40C32"/>
    <w:rsid w:val="00A40F9E"/>
    <w:rsid w:val="00A4127D"/>
    <w:rsid w:val="00A413FE"/>
    <w:rsid w:val="00A41493"/>
    <w:rsid w:val="00A414C9"/>
    <w:rsid w:val="00A41690"/>
    <w:rsid w:val="00A41AA1"/>
    <w:rsid w:val="00A41EDB"/>
    <w:rsid w:val="00A422A4"/>
    <w:rsid w:val="00A427B2"/>
    <w:rsid w:val="00A42838"/>
    <w:rsid w:val="00A42882"/>
    <w:rsid w:val="00A42A49"/>
    <w:rsid w:val="00A42B74"/>
    <w:rsid w:val="00A42DE4"/>
    <w:rsid w:val="00A42DF2"/>
    <w:rsid w:val="00A42DF4"/>
    <w:rsid w:val="00A42E37"/>
    <w:rsid w:val="00A43008"/>
    <w:rsid w:val="00A43026"/>
    <w:rsid w:val="00A431FC"/>
    <w:rsid w:val="00A432CC"/>
    <w:rsid w:val="00A43492"/>
    <w:rsid w:val="00A43878"/>
    <w:rsid w:val="00A43B02"/>
    <w:rsid w:val="00A43B40"/>
    <w:rsid w:val="00A43DCA"/>
    <w:rsid w:val="00A440A2"/>
    <w:rsid w:val="00A441F3"/>
    <w:rsid w:val="00A442D1"/>
    <w:rsid w:val="00A44737"/>
    <w:rsid w:val="00A447B3"/>
    <w:rsid w:val="00A4484C"/>
    <w:rsid w:val="00A4498B"/>
    <w:rsid w:val="00A44D68"/>
    <w:rsid w:val="00A45012"/>
    <w:rsid w:val="00A45101"/>
    <w:rsid w:val="00A4514D"/>
    <w:rsid w:val="00A454BB"/>
    <w:rsid w:val="00A459FE"/>
    <w:rsid w:val="00A45A55"/>
    <w:rsid w:val="00A45B36"/>
    <w:rsid w:val="00A45BCA"/>
    <w:rsid w:val="00A45DA6"/>
    <w:rsid w:val="00A4660C"/>
    <w:rsid w:val="00A46933"/>
    <w:rsid w:val="00A469CD"/>
    <w:rsid w:val="00A46E14"/>
    <w:rsid w:val="00A471F2"/>
    <w:rsid w:val="00A47266"/>
    <w:rsid w:val="00A47277"/>
    <w:rsid w:val="00A47391"/>
    <w:rsid w:val="00A4771F"/>
    <w:rsid w:val="00A47726"/>
    <w:rsid w:val="00A47770"/>
    <w:rsid w:val="00A4783B"/>
    <w:rsid w:val="00A47BF2"/>
    <w:rsid w:val="00A47CCF"/>
    <w:rsid w:val="00A50575"/>
    <w:rsid w:val="00A506F2"/>
    <w:rsid w:val="00A50704"/>
    <w:rsid w:val="00A50B48"/>
    <w:rsid w:val="00A50F6A"/>
    <w:rsid w:val="00A513EC"/>
    <w:rsid w:val="00A516B8"/>
    <w:rsid w:val="00A5175C"/>
    <w:rsid w:val="00A51803"/>
    <w:rsid w:val="00A51ADC"/>
    <w:rsid w:val="00A51D27"/>
    <w:rsid w:val="00A51E2C"/>
    <w:rsid w:val="00A5224D"/>
    <w:rsid w:val="00A523B2"/>
    <w:rsid w:val="00A527B9"/>
    <w:rsid w:val="00A52B77"/>
    <w:rsid w:val="00A52CF4"/>
    <w:rsid w:val="00A52E0E"/>
    <w:rsid w:val="00A535C5"/>
    <w:rsid w:val="00A539A9"/>
    <w:rsid w:val="00A53A1C"/>
    <w:rsid w:val="00A53D39"/>
    <w:rsid w:val="00A53EDD"/>
    <w:rsid w:val="00A53F15"/>
    <w:rsid w:val="00A53FBD"/>
    <w:rsid w:val="00A5400E"/>
    <w:rsid w:val="00A5427C"/>
    <w:rsid w:val="00A54282"/>
    <w:rsid w:val="00A545B0"/>
    <w:rsid w:val="00A549C1"/>
    <w:rsid w:val="00A54E21"/>
    <w:rsid w:val="00A54E35"/>
    <w:rsid w:val="00A5564D"/>
    <w:rsid w:val="00A55799"/>
    <w:rsid w:val="00A55CA5"/>
    <w:rsid w:val="00A56015"/>
    <w:rsid w:val="00A56043"/>
    <w:rsid w:val="00A5616D"/>
    <w:rsid w:val="00A56236"/>
    <w:rsid w:val="00A5649B"/>
    <w:rsid w:val="00A56596"/>
    <w:rsid w:val="00A56C93"/>
    <w:rsid w:val="00A56EB6"/>
    <w:rsid w:val="00A5747F"/>
    <w:rsid w:val="00A574A0"/>
    <w:rsid w:val="00A57D4D"/>
    <w:rsid w:val="00A57F81"/>
    <w:rsid w:val="00A60041"/>
    <w:rsid w:val="00A6018D"/>
    <w:rsid w:val="00A6094C"/>
    <w:rsid w:val="00A60CD8"/>
    <w:rsid w:val="00A60DB6"/>
    <w:rsid w:val="00A60DC6"/>
    <w:rsid w:val="00A61013"/>
    <w:rsid w:val="00A613E4"/>
    <w:rsid w:val="00A61BB2"/>
    <w:rsid w:val="00A61F57"/>
    <w:rsid w:val="00A6273F"/>
    <w:rsid w:val="00A62904"/>
    <w:rsid w:val="00A62936"/>
    <w:rsid w:val="00A62A4C"/>
    <w:rsid w:val="00A62B71"/>
    <w:rsid w:val="00A62FD2"/>
    <w:rsid w:val="00A6319F"/>
    <w:rsid w:val="00A63213"/>
    <w:rsid w:val="00A633B9"/>
    <w:rsid w:val="00A63AAC"/>
    <w:rsid w:val="00A63AEB"/>
    <w:rsid w:val="00A63CFF"/>
    <w:rsid w:val="00A6402E"/>
    <w:rsid w:val="00A640C4"/>
    <w:rsid w:val="00A64234"/>
    <w:rsid w:val="00A646F6"/>
    <w:rsid w:val="00A64C2C"/>
    <w:rsid w:val="00A65172"/>
    <w:rsid w:val="00A6551B"/>
    <w:rsid w:val="00A6554C"/>
    <w:rsid w:val="00A65606"/>
    <w:rsid w:val="00A6566A"/>
    <w:rsid w:val="00A65685"/>
    <w:rsid w:val="00A657BB"/>
    <w:rsid w:val="00A658A5"/>
    <w:rsid w:val="00A65917"/>
    <w:rsid w:val="00A65A92"/>
    <w:rsid w:val="00A65B9F"/>
    <w:rsid w:val="00A66354"/>
    <w:rsid w:val="00A66412"/>
    <w:rsid w:val="00A66532"/>
    <w:rsid w:val="00A66A36"/>
    <w:rsid w:val="00A66A9B"/>
    <w:rsid w:val="00A66AE0"/>
    <w:rsid w:val="00A67136"/>
    <w:rsid w:val="00A6722E"/>
    <w:rsid w:val="00A67560"/>
    <w:rsid w:val="00A67DEB"/>
    <w:rsid w:val="00A70077"/>
    <w:rsid w:val="00A70430"/>
    <w:rsid w:val="00A704C8"/>
    <w:rsid w:val="00A705BB"/>
    <w:rsid w:val="00A706C6"/>
    <w:rsid w:val="00A70708"/>
    <w:rsid w:val="00A70967"/>
    <w:rsid w:val="00A70C51"/>
    <w:rsid w:val="00A70CA6"/>
    <w:rsid w:val="00A70D4A"/>
    <w:rsid w:val="00A70E0D"/>
    <w:rsid w:val="00A7104A"/>
    <w:rsid w:val="00A711D3"/>
    <w:rsid w:val="00A71475"/>
    <w:rsid w:val="00A7158D"/>
    <w:rsid w:val="00A715F0"/>
    <w:rsid w:val="00A719FC"/>
    <w:rsid w:val="00A71B18"/>
    <w:rsid w:val="00A7252C"/>
    <w:rsid w:val="00A726AD"/>
    <w:rsid w:val="00A7271C"/>
    <w:rsid w:val="00A72792"/>
    <w:rsid w:val="00A72B62"/>
    <w:rsid w:val="00A73590"/>
    <w:rsid w:val="00A735FA"/>
    <w:rsid w:val="00A738A0"/>
    <w:rsid w:val="00A739BD"/>
    <w:rsid w:val="00A739F8"/>
    <w:rsid w:val="00A73B13"/>
    <w:rsid w:val="00A73B14"/>
    <w:rsid w:val="00A73F07"/>
    <w:rsid w:val="00A73F5D"/>
    <w:rsid w:val="00A743C0"/>
    <w:rsid w:val="00A7481A"/>
    <w:rsid w:val="00A748B9"/>
    <w:rsid w:val="00A75078"/>
    <w:rsid w:val="00A75514"/>
    <w:rsid w:val="00A755F0"/>
    <w:rsid w:val="00A75817"/>
    <w:rsid w:val="00A75B0C"/>
    <w:rsid w:val="00A75DC4"/>
    <w:rsid w:val="00A75DF2"/>
    <w:rsid w:val="00A75EC7"/>
    <w:rsid w:val="00A7624D"/>
    <w:rsid w:val="00A7626A"/>
    <w:rsid w:val="00A7632B"/>
    <w:rsid w:val="00A76A62"/>
    <w:rsid w:val="00A76AEA"/>
    <w:rsid w:val="00A76C1C"/>
    <w:rsid w:val="00A77048"/>
    <w:rsid w:val="00A7714A"/>
    <w:rsid w:val="00A77714"/>
    <w:rsid w:val="00A77BDB"/>
    <w:rsid w:val="00A77D0A"/>
    <w:rsid w:val="00A807EE"/>
    <w:rsid w:val="00A80AC5"/>
    <w:rsid w:val="00A80B60"/>
    <w:rsid w:val="00A81022"/>
    <w:rsid w:val="00A8109F"/>
    <w:rsid w:val="00A81193"/>
    <w:rsid w:val="00A8123C"/>
    <w:rsid w:val="00A81316"/>
    <w:rsid w:val="00A81430"/>
    <w:rsid w:val="00A8156F"/>
    <w:rsid w:val="00A81ACE"/>
    <w:rsid w:val="00A81C4D"/>
    <w:rsid w:val="00A81C59"/>
    <w:rsid w:val="00A81EEF"/>
    <w:rsid w:val="00A8277C"/>
    <w:rsid w:val="00A8298E"/>
    <w:rsid w:val="00A82997"/>
    <w:rsid w:val="00A82E8D"/>
    <w:rsid w:val="00A83006"/>
    <w:rsid w:val="00A83159"/>
    <w:rsid w:val="00A831CE"/>
    <w:rsid w:val="00A8394F"/>
    <w:rsid w:val="00A83977"/>
    <w:rsid w:val="00A839D6"/>
    <w:rsid w:val="00A83CD9"/>
    <w:rsid w:val="00A84117"/>
    <w:rsid w:val="00A84526"/>
    <w:rsid w:val="00A848A9"/>
    <w:rsid w:val="00A848AE"/>
    <w:rsid w:val="00A8498A"/>
    <w:rsid w:val="00A849C7"/>
    <w:rsid w:val="00A84D9F"/>
    <w:rsid w:val="00A84E12"/>
    <w:rsid w:val="00A8516F"/>
    <w:rsid w:val="00A85427"/>
    <w:rsid w:val="00A85613"/>
    <w:rsid w:val="00A85822"/>
    <w:rsid w:val="00A858D7"/>
    <w:rsid w:val="00A858D9"/>
    <w:rsid w:val="00A85CD8"/>
    <w:rsid w:val="00A85E82"/>
    <w:rsid w:val="00A8614A"/>
    <w:rsid w:val="00A8627C"/>
    <w:rsid w:val="00A864DD"/>
    <w:rsid w:val="00A86864"/>
    <w:rsid w:val="00A8694B"/>
    <w:rsid w:val="00A869B2"/>
    <w:rsid w:val="00A86C6C"/>
    <w:rsid w:val="00A873C8"/>
    <w:rsid w:val="00A874C7"/>
    <w:rsid w:val="00A877DD"/>
    <w:rsid w:val="00A87873"/>
    <w:rsid w:val="00A87C1D"/>
    <w:rsid w:val="00A87F92"/>
    <w:rsid w:val="00A901A3"/>
    <w:rsid w:val="00A90248"/>
    <w:rsid w:val="00A9042F"/>
    <w:rsid w:val="00A9050C"/>
    <w:rsid w:val="00A908E4"/>
    <w:rsid w:val="00A90D9F"/>
    <w:rsid w:val="00A91364"/>
    <w:rsid w:val="00A91405"/>
    <w:rsid w:val="00A917A8"/>
    <w:rsid w:val="00A91B58"/>
    <w:rsid w:val="00A91C17"/>
    <w:rsid w:val="00A91C22"/>
    <w:rsid w:val="00A92007"/>
    <w:rsid w:val="00A921AE"/>
    <w:rsid w:val="00A92546"/>
    <w:rsid w:val="00A92666"/>
    <w:rsid w:val="00A92706"/>
    <w:rsid w:val="00A92A71"/>
    <w:rsid w:val="00A92B11"/>
    <w:rsid w:val="00A92C99"/>
    <w:rsid w:val="00A92DC0"/>
    <w:rsid w:val="00A930DC"/>
    <w:rsid w:val="00A93780"/>
    <w:rsid w:val="00A939FC"/>
    <w:rsid w:val="00A93D7E"/>
    <w:rsid w:val="00A93DC7"/>
    <w:rsid w:val="00A93EA6"/>
    <w:rsid w:val="00A942E8"/>
    <w:rsid w:val="00A94540"/>
    <w:rsid w:val="00A945AC"/>
    <w:rsid w:val="00A9465A"/>
    <w:rsid w:val="00A946CA"/>
    <w:rsid w:val="00A949F6"/>
    <w:rsid w:val="00A94B67"/>
    <w:rsid w:val="00A94BB4"/>
    <w:rsid w:val="00A94C84"/>
    <w:rsid w:val="00A94E52"/>
    <w:rsid w:val="00A94F98"/>
    <w:rsid w:val="00A952B4"/>
    <w:rsid w:val="00A952D4"/>
    <w:rsid w:val="00A952FE"/>
    <w:rsid w:val="00A9568B"/>
    <w:rsid w:val="00A95784"/>
    <w:rsid w:val="00A957CC"/>
    <w:rsid w:val="00A957F8"/>
    <w:rsid w:val="00A95AD5"/>
    <w:rsid w:val="00A95CE4"/>
    <w:rsid w:val="00A95D6A"/>
    <w:rsid w:val="00A95E4D"/>
    <w:rsid w:val="00A95E7B"/>
    <w:rsid w:val="00A95FCE"/>
    <w:rsid w:val="00A96652"/>
    <w:rsid w:val="00A966A0"/>
    <w:rsid w:val="00A96B1F"/>
    <w:rsid w:val="00A96BAB"/>
    <w:rsid w:val="00A97168"/>
    <w:rsid w:val="00A97381"/>
    <w:rsid w:val="00A9758B"/>
    <w:rsid w:val="00A97647"/>
    <w:rsid w:val="00A9764E"/>
    <w:rsid w:val="00A979D8"/>
    <w:rsid w:val="00A97B29"/>
    <w:rsid w:val="00AA00A1"/>
    <w:rsid w:val="00AA01ED"/>
    <w:rsid w:val="00AA026F"/>
    <w:rsid w:val="00AA0581"/>
    <w:rsid w:val="00AA05F3"/>
    <w:rsid w:val="00AA07B2"/>
    <w:rsid w:val="00AA0BF6"/>
    <w:rsid w:val="00AA11E4"/>
    <w:rsid w:val="00AA135C"/>
    <w:rsid w:val="00AA16FE"/>
    <w:rsid w:val="00AA1B8C"/>
    <w:rsid w:val="00AA1B9C"/>
    <w:rsid w:val="00AA1D3D"/>
    <w:rsid w:val="00AA1D65"/>
    <w:rsid w:val="00AA1E69"/>
    <w:rsid w:val="00AA1F2F"/>
    <w:rsid w:val="00AA1FE5"/>
    <w:rsid w:val="00AA209C"/>
    <w:rsid w:val="00AA20CA"/>
    <w:rsid w:val="00AA227A"/>
    <w:rsid w:val="00AA2412"/>
    <w:rsid w:val="00AA2415"/>
    <w:rsid w:val="00AA2575"/>
    <w:rsid w:val="00AA25A4"/>
    <w:rsid w:val="00AA2722"/>
    <w:rsid w:val="00AA2867"/>
    <w:rsid w:val="00AA2C69"/>
    <w:rsid w:val="00AA2E71"/>
    <w:rsid w:val="00AA2EA7"/>
    <w:rsid w:val="00AA2F55"/>
    <w:rsid w:val="00AA31E6"/>
    <w:rsid w:val="00AA33E5"/>
    <w:rsid w:val="00AA35D8"/>
    <w:rsid w:val="00AA370C"/>
    <w:rsid w:val="00AA37CF"/>
    <w:rsid w:val="00AA3B0F"/>
    <w:rsid w:val="00AA3C5E"/>
    <w:rsid w:val="00AA3E87"/>
    <w:rsid w:val="00AA4167"/>
    <w:rsid w:val="00AA41D0"/>
    <w:rsid w:val="00AA42B9"/>
    <w:rsid w:val="00AA4328"/>
    <w:rsid w:val="00AA44E0"/>
    <w:rsid w:val="00AA45BE"/>
    <w:rsid w:val="00AA47B8"/>
    <w:rsid w:val="00AA4B3C"/>
    <w:rsid w:val="00AA4F7B"/>
    <w:rsid w:val="00AA5507"/>
    <w:rsid w:val="00AA59D8"/>
    <w:rsid w:val="00AA59DD"/>
    <w:rsid w:val="00AA5B9B"/>
    <w:rsid w:val="00AA5F28"/>
    <w:rsid w:val="00AA650D"/>
    <w:rsid w:val="00AA6593"/>
    <w:rsid w:val="00AA6610"/>
    <w:rsid w:val="00AA6BB6"/>
    <w:rsid w:val="00AA6D4A"/>
    <w:rsid w:val="00AA6F0B"/>
    <w:rsid w:val="00AA7358"/>
    <w:rsid w:val="00AA74A1"/>
    <w:rsid w:val="00AA7CEC"/>
    <w:rsid w:val="00AB011E"/>
    <w:rsid w:val="00AB01C2"/>
    <w:rsid w:val="00AB03E3"/>
    <w:rsid w:val="00AB0591"/>
    <w:rsid w:val="00AB0722"/>
    <w:rsid w:val="00AB0A99"/>
    <w:rsid w:val="00AB0CAD"/>
    <w:rsid w:val="00AB0E04"/>
    <w:rsid w:val="00AB0F05"/>
    <w:rsid w:val="00AB0FCD"/>
    <w:rsid w:val="00AB0FF2"/>
    <w:rsid w:val="00AB10E0"/>
    <w:rsid w:val="00AB1132"/>
    <w:rsid w:val="00AB1278"/>
    <w:rsid w:val="00AB137C"/>
    <w:rsid w:val="00AB14BF"/>
    <w:rsid w:val="00AB14E5"/>
    <w:rsid w:val="00AB1870"/>
    <w:rsid w:val="00AB191D"/>
    <w:rsid w:val="00AB1DA4"/>
    <w:rsid w:val="00AB1F98"/>
    <w:rsid w:val="00AB252D"/>
    <w:rsid w:val="00AB2800"/>
    <w:rsid w:val="00AB29C4"/>
    <w:rsid w:val="00AB2C0E"/>
    <w:rsid w:val="00AB2CA7"/>
    <w:rsid w:val="00AB2CDD"/>
    <w:rsid w:val="00AB2FDA"/>
    <w:rsid w:val="00AB313B"/>
    <w:rsid w:val="00AB33A8"/>
    <w:rsid w:val="00AB35C2"/>
    <w:rsid w:val="00AB3764"/>
    <w:rsid w:val="00AB3767"/>
    <w:rsid w:val="00AB37D1"/>
    <w:rsid w:val="00AB3B44"/>
    <w:rsid w:val="00AB3F78"/>
    <w:rsid w:val="00AB4200"/>
    <w:rsid w:val="00AB4633"/>
    <w:rsid w:val="00AB46C4"/>
    <w:rsid w:val="00AB4A3A"/>
    <w:rsid w:val="00AB4D48"/>
    <w:rsid w:val="00AB4F68"/>
    <w:rsid w:val="00AB505D"/>
    <w:rsid w:val="00AB55AD"/>
    <w:rsid w:val="00AB5C05"/>
    <w:rsid w:val="00AB5E21"/>
    <w:rsid w:val="00AB5E65"/>
    <w:rsid w:val="00AB5EB6"/>
    <w:rsid w:val="00AB6140"/>
    <w:rsid w:val="00AB6171"/>
    <w:rsid w:val="00AB6237"/>
    <w:rsid w:val="00AB64D7"/>
    <w:rsid w:val="00AB6771"/>
    <w:rsid w:val="00AB6D79"/>
    <w:rsid w:val="00AB77B9"/>
    <w:rsid w:val="00AB77DD"/>
    <w:rsid w:val="00AB7884"/>
    <w:rsid w:val="00AB78EC"/>
    <w:rsid w:val="00AB79AE"/>
    <w:rsid w:val="00AB7B1C"/>
    <w:rsid w:val="00AC0362"/>
    <w:rsid w:val="00AC0598"/>
    <w:rsid w:val="00AC090E"/>
    <w:rsid w:val="00AC0A40"/>
    <w:rsid w:val="00AC0DD5"/>
    <w:rsid w:val="00AC1464"/>
    <w:rsid w:val="00AC1719"/>
    <w:rsid w:val="00AC17A9"/>
    <w:rsid w:val="00AC194E"/>
    <w:rsid w:val="00AC1984"/>
    <w:rsid w:val="00AC1B68"/>
    <w:rsid w:val="00AC1E95"/>
    <w:rsid w:val="00AC1FF1"/>
    <w:rsid w:val="00AC2327"/>
    <w:rsid w:val="00AC2B31"/>
    <w:rsid w:val="00AC2B3F"/>
    <w:rsid w:val="00AC2E98"/>
    <w:rsid w:val="00AC2EB6"/>
    <w:rsid w:val="00AC301D"/>
    <w:rsid w:val="00AC313B"/>
    <w:rsid w:val="00AC3261"/>
    <w:rsid w:val="00AC33F3"/>
    <w:rsid w:val="00AC3854"/>
    <w:rsid w:val="00AC3882"/>
    <w:rsid w:val="00AC38FF"/>
    <w:rsid w:val="00AC3934"/>
    <w:rsid w:val="00AC3C0E"/>
    <w:rsid w:val="00AC3D91"/>
    <w:rsid w:val="00AC3E7C"/>
    <w:rsid w:val="00AC3EA6"/>
    <w:rsid w:val="00AC3F4C"/>
    <w:rsid w:val="00AC42A4"/>
    <w:rsid w:val="00AC4303"/>
    <w:rsid w:val="00AC450C"/>
    <w:rsid w:val="00AC45CE"/>
    <w:rsid w:val="00AC47FE"/>
    <w:rsid w:val="00AC4957"/>
    <w:rsid w:val="00AC4F64"/>
    <w:rsid w:val="00AC5107"/>
    <w:rsid w:val="00AC5161"/>
    <w:rsid w:val="00AC54EE"/>
    <w:rsid w:val="00AC5E35"/>
    <w:rsid w:val="00AC5EC6"/>
    <w:rsid w:val="00AC681C"/>
    <w:rsid w:val="00AC682A"/>
    <w:rsid w:val="00AC6849"/>
    <w:rsid w:val="00AC689D"/>
    <w:rsid w:val="00AC691D"/>
    <w:rsid w:val="00AC6C88"/>
    <w:rsid w:val="00AC7015"/>
    <w:rsid w:val="00AC70C7"/>
    <w:rsid w:val="00AC70CC"/>
    <w:rsid w:val="00AC71DE"/>
    <w:rsid w:val="00AC7275"/>
    <w:rsid w:val="00AC7329"/>
    <w:rsid w:val="00AC73A2"/>
    <w:rsid w:val="00AC73C8"/>
    <w:rsid w:val="00AC73EF"/>
    <w:rsid w:val="00AC77FF"/>
    <w:rsid w:val="00AC795E"/>
    <w:rsid w:val="00AC7989"/>
    <w:rsid w:val="00AC79A8"/>
    <w:rsid w:val="00AC7B63"/>
    <w:rsid w:val="00AC7BE7"/>
    <w:rsid w:val="00AD00DD"/>
    <w:rsid w:val="00AD013D"/>
    <w:rsid w:val="00AD026B"/>
    <w:rsid w:val="00AD09F3"/>
    <w:rsid w:val="00AD0C8C"/>
    <w:rsid w:val="00AD0E77"/>
    <w:rsid w:val="00AD0E7F"/>
    <w:rsid w:val="00AD1960"/>
    <w:rsid w:val="00AD196A"/>
    <w:rsid w:val="00AD1C84"/>
    <w:rsid w:val="00AD1E91"/>
    <w:rsid w:val="00AD21F0"/>
    <w:rsid w:val="00AD23E9"/>
    <w:rsid w:val="00AD2571"/>
    <w:rsid w:val="00AD26CA"/>
    <w:rsid w:val="00AD2A06"/>
    <w:rsid w:val="00AD2CD6"/>
    <w:rsid w:val="00AD2D6F"/>
    <w:rsid w:val="00AD2EFE"/>
    <w:rsid w:val="00AD32D7"/>
    <w:rsid w:val="00AD35D3"/>
    <w:rsid w:val="00AD391E"/>
    <w:rsid w:val="00AD3B94"/>
    <w:rsid w:val="00AD3DBC"/>
    <w:rsid w:val="00AD410D"/>
    <w:rsid w:val="00AD48FB"/>
    <w:rsid w:val="00AD4A80"/>
    <w:rsid w:val="00AD4CE3"/>
    <w:rsid w:val="00AD4D77"/>
    <w:rsid w:val="00AD4D7A"/>
    <w:rsid w:val="00AD510B"/>
    <w:rsid w:val="00AD527D"/>
    <w:rsid w:val="00AD53F1"/>
    <w:rsid w:val="00AD5414"/>
    <w:rsid w:val="00AD550A"/>
    <w:rsid w:val="00AD57D2"/>
    <w:rsid w:val="00AD5A7C"/>
    <w:rsid w:val="00AD5DF1"/>
    <w:rsid w:val="00AD5F10"/>
    <w:rsid w:val="00AD641F"/>
    <w:rsid w:val="00AD65EA"/>
    <w:rsid w:val="00AD6717"/>
    <w:rsid w:val="00AD69DA"/>
    <w:rsid w:val="00AD6B00"/>
    <w:rsid w:val="00AD6CE0"/>
    <w:rsid w:val="00AD6FF8"/>
    <w:rsid w:val="00AD72AF"/>
    <w:rsid w:val="00AD72CF"/>
    <w:rsid w:val="00AD74C4"/>
    <w:rsid w:val="00AD75AC"/>
    <w:rsid w:val="00AD76A1"/>
    <w:rsid w:val="00AD77A6"/>
    <w:rsid w:val="00AD7A4A"/>
    <w:rsid w:val="00AD7BC1"/>
    <w:rsid w:val="00AD7C18"/>
    <w:rsid w:val="00AD7FC8"/>
    <w:rsid w:val="00AD7FFD"/>
    <w:rsid w:val="00AE0242"/>
    <w:rsid w:val="00AE02EB"/>
    <w:rsid w:val="00AE0307"/>
    <w:rsid w:val="00AE041C"/>
    <w:rsid w:val="00AE0473"/>
    <w:rsid w:val="00AE05FB"/>
    <w:rsid w:val="00AE0C2A"/>
    <w:rsid w:val="00AE0ECD"/>
    <w:rsid w:val="00AE10FE"/>
    <w:rsid w:val="00AE143C"/>
    <w:rsid w:val="00AE1B56"/>
    <w:rsid w:val="00AE219F"/>
    <w:rsid w:val="00AE28F6"/>
    <w:rsid w:val="00AE2989"/>
    <w:rsid w:val="00AE29B6"/>
    <w:rsid w:val="00AE2D1D"/>
    <w:rsid w:val="00AE2E50"/>
    <w:rsid w:val="00AE3451"/>
    <w:rsid w:val="00AE346D"/>
    <w:rsid w:val="00AE35FF"/>
    <w:rsid w:val="00AE38A9"/>
    <w:rsid w:val="00AE396C"/>
    <w:rsid w:val="00AE3ACF"/>
    <w:rsid w:val="00AE3C41"/>
    <w:rsid w:val="00AE3D62"/>
    <w:rsid w:val="00AE44A6"/>
    <w:rsid w:val="00AE4957"/>
    <w:rsid w:val="00AE4A40"/>
    <w:rsid w:val="00AE4E28"/>
    <w:rsid w:val="00AE4E78"/>
    <w:rsid w:val="00AE5333"/>
    <w:rsid w:val="00AE53B6"/>
    <w:rsid w:val="00AE549C"/>
    <w:rsid w:val="00AE564D"/>
    <w:rsid w:val="00AE56B7"/>
    <w:rsid w:val="00AE5983"/>
    <w:rsid w:val="00AE5B09"/>
    <w:rsid w:val="00AE5B30"/>
    <w:rsid w:val="00AE5B46"/>
    <w:rsid w:val="00AE60D9"/>
    <w:rsid w:val="00AE61E8"/>
    <w:rsid w:val="00AE62F4"/>
    <w:rsid w:val="00AE6973"/>
    <w:rsid w:val="00AE69B7"/>
    <w:rsid w:val="00AE6ADF"/>
    <w:rsid w:val="00AE6B39"/>
    <w:rsid w:val="00AE6C01"/>
    <w:rsid w:val="00AE6DFB"/>
    <w:rsid w:val="00AE6EDB"/>
    <w:rsid w:val="00AE700A"/>
    <w:rsid w:val="00AE72F2"/>
    <w:rsid w:val="00AE7329"/>
    <w:rsid w:val="00AE7381"/>
    <w:rsid w:val="00AE743C"/>
    <w:rsid w:val="00AE7BEB"/>
    <w:rsid w:val="00AE7CBD"/>
    <w:rsid w:val="00AE7F9B"/>
    <w:rsid w:val="00AE7FC3"/>
    <w:rsid w:val="00AF013A"/>
    <w:rsid w:val="00AF0195"/>
    <w:rsid w:val="00AF0590"/>
    <w:rsid w:val="00AF08F0"/>
    <w:rsid w:val="00AF09D7"/>
    <w:rsid w:val="00AF0BB6"/>
    <w:rsid w:val="00AF0F1A"/>
    <w:rsid w:val="00AF121F"/>
    <w:rsid w:val="00AF1382"/>
    <w:rsid w:val="00AF19CF"/>
    <w:rsid w:val="00AF1A9B"/>
    <w:rsid w:val="00AF1C5E"/>
    <w:rsid w:val="00AF1C94"/>
    <w:rsid w:val="00AF1EB9"/>
    <w:rsid w:val="00AF222C"/>
    <w:rsid w:val="00AF2424"/>
    <w:rsid w:val="00AF2466"/>
    <w:rsid w:val="00AF26E4"/>
    <w:rsid w:val="00AF2719"/>
    <w:rsid w:val="00AF28D3"/>
    <w:rsid w:val="00AF290C"/>
    <w:rsid w:val="00AF2A69"/>
    <w:rsid w:val="00AF2A95"/>
    <w:rsid w:val="00AF2C7E"/>
    <w:rsid w:val="00AF2DCF"/>
    <w:rsid w:val="00AF2ED5"/>
    <w:rsid w:val="00AF2F6B"/>
    <w:rsid w:val="00AF30AC"/>
    <w:rsid w:val="00AF3461"/>
    <w:rsid w:val="00AF3488"/>
    <w:rsid w:val="00AF3499"/>
    <w:rsid w:val="00AF34D8"/>
    <w:rsid w:val="00AF35A1"/>
    <w:rsid w:val="00AF3670"/>
    <w:rsid w:val="00AF36A2"/>
    <w:rsid w:val="00AF3792"/>
    <w:rsid w:val="00AF3A00"/>
    <w:rsid w:val="00AF3C01"/>
    <w:rsid w:val="00AF3E6C"/>
    <w:rsid w:val="00AF3EF1"/>
    <w:rsid w:val="00AF42CF"/>
    <w:rsid w:val="00AF43D5"/>
    <w:rsid w:val="00AF440A"/>
    <w:rsid w:val="00AF4833"/>
    <w:rsid w:val="00AF492A"/>
    <w:rsid w:val="00AF4B9C"/>
    <w:rsid w:val="00AF4CE3"/>
    <w:rsid w:val="00AF4FF0"/>
    <w:rsid w:val="00AF50C9"/>
    <w:rsid w:val="00AF5125"/>
    <w:rsid w:val="00AF5170"/>
    <w:rsid w:val="00AF5203"/>
    <w:rsid w:val="00AF53DF"/>
    <w:rsid w:val="00AF54E2"/>
    <w:rsid w:val="00AF56E8"/>
    <w:rsid w:val="00AF5766"/>
    <w:rsid w:val="00AF57AD"/>
    <w:rsid w:val="00AF5BFE"/>
    <w:rsid w:val="00AF5D8F"/>
    <w:rsid w:val="00AF5E87"/>
    <w:rsid w:val="00AF64CF"/>
    <w:rsid w:val="00AF652C"/>
    <w:rsid w:val="00AF6596"/>
    <w:rsid w:val="00AF65E6"/>
    <w:rsid w:val="00AF665D"/>
    <w:rsid w:val="00AF6674"/>
    <w:rsid w:val="00AF66F7"/>
    <w:rsid w:val="00AF67A4"/>
    <w:rsid w:val="00AF67F9"/>
    <w:rsid w:val="00AF6B33"/>
    <w:rsid w:val="00AF6B43"/>
    <w:rsid w:val="00AF6C43"/>
    <w:rsid w:val="00AF711A"/>
    <w:rsid w:val="00AF76A4"/>
    <w:rsid w:val="00AF7855"/>
    <w:rsid w:val="00AF7BFA"/>
    <w:rsid w:val="00AF7DE1"/>
    <w:rsid w:val="00AF7FBA"/>
    <w:rsid w:val="00B00126"/>
    <w:rsid w:val="00B0018D"/>
    <w:rsid w:val="00B007D3"/>
    <w:rsid w:val="00B00AEC"/>
    <w:rsid w:val="00B00B57"/>
    <w:rsid w:val="00B00D16"/>
    <w:rsid w:val="00B00E46"/>
    <w:rsid w:val="00B010AC"/>
    <w:rsid w:val="00B010F7"/>
    <w:rsid w:val="00B01346"/>
    <w:rsid w:val="00B01D16"/>
    <w:rsid w:val="00B01E4E"/>
    <w:rsid w:val="00B01F3A"/>
    <w:rsid w:val="00B01F81"/>
    <w:rsid w:val="00B0266B"/>
    <w:rsid w:val="00B02799"/>
    <w:rsid w:val="00B033B0"/>
    <w:rsid w:val="00B03B0E"/>
    <w:rsid w:val="00B03BAC"/>
    <w:rsid w:val="00B03C4D"/>
    <w:rsid w:val="00B03FC8"/>
    <w:rsid w:val="00B04047"/>
    <w:rsid w:val="00B04333"/>
    <w:rsid w:val="00B047EF"/>
    <w:rsid w:val="00B04E72"/>
    <w:rsid w:val="00B0534E"/>
    <w:rsid w:val="00B05379"/>
    <w:rsid w:val="00B05611"/>
    <w:rsid w:val="00B05734"/>
    <w:rsid w:val="00B05B37"/>
    <w:rsid w:val="00B05CBE"/>
    <w:rsid w:val="00B05D8F"/>
    <w:rsid w:val="00B0659F"/>
    <w:rsid w:val="00B0671C"/>
    <w:rsid w:val="00B068E1"/>
    <w:rsid w:val="00B06971"/>
    <w:rsid w:val="00B06B08"/>
    <w:rsid w:val="00B06CF3"/>
    <w:rsid w:val="00B06D3B"/>
    <w:rsid w:val="00B06E13"/>
    <w:rsid w:val="00B07198"/>
    <w:rsid w:val="00B073BA"/>
    <w:rsid w:val="00B07648"/>
    <w:rsid w:val="00B079C7"/>
    <w:rsid w:val="00B07B2C"/>
    <w:rsid w:val="00B10063"/>
    <w:rsid w:val="00B1024B"/>
    <w:rsid w:val="00B102B2"/>
    <w:rsid w:val="00B103D2"/>
    <w:rsid w:val="00B109C4"/>
    <w:rsid w:val="00B10CE1"/>
    <w:rsid w:val="00B10D84"/>
    <w:rsid w:val="00B10EFE"/>
    <w:rsid w:val="00B1107A"/>
    <w:rsid w:val="00B1163E"/>
    <w:rsid w:val="00B11AFD"/>
    <w:rsid w:val="00B11C13"/>
    <w:rsid w:val="00B11C14"/>
    <w:rsid w:val="00B11D00"/>
    <w:rsid w:val="00B11E55"/>
    <w:rsid w:val="00B11FED"/>
    <w:rsid w:val="00B120DE"/>
    <w:rsid w:val="00B121CC"/>
    <w:rsid w:val="00B12682"/>
    <w:rsid w:val="00B126B5"/>
    <w:rsid w:val="00B12785"/>
    <w:rsid w:val="00B1286B"/>
    <w:rsid w:val="00B12A81"/>
    <w:rsid w:val="00B12AEA"/>
    <w:rsid w:val="00B12C43"/>
    <w:rsid w:val="00B12CEC"/>
    <w:rsid w:val="00B13453"/>
    <w:rsid w:val="00B13561"/>
    <w:rsid w:val="00B135D2"/>
    <w:rsid w:val="00B1360D"/>
    <w:rsid w:val="00B13633"/>
    <w:rsid w:val="00B13809"/>
    <w:rsid w:val="00B13A19"/>
    <w:rsid w:val="00B13BFF"/>
    <w:rsid w:val="00B13F66"/>
    <w:rsid w:val="00B140D6"/>
    <w:rsid w:val="00B14611"/>
    <w:rsid w:val="00B14758"/>
    <w:rsid w:val="00B14F4D"/>
    <w:rsid w:val="00B14FDF"/>
    <w:rsid w:val="00B152C5"/>
    <w:rsid w:val="00B152D5"/>
    <w:rsid w:val="00B15614"/>
    <w:rsid w:val="00B1583F"/>
    <w:rsid w:val="00B1591A"/>
    <w:rsid w:val="00B15A48"/>
    <w:rsid w:val="00B15A52"/>
    <w:rsid w:val="00B15BEC"/>
    <w:rsid w:val="00B15ED4"/>
    <w:rsid w:val="00B16AAA"/>
    <w:rsid w:val="00B16CCD"/>
    <w:rsid w:val="00B16E2A"/>
    <w:rsid w:val="00B17275"/>
    <w:rsid w:val="00B172DF"/>
    <w:rsid w:val="00B174E0"/>
    <w:rsid w:val="00B1757D"/>
    <w:rsid w:val="00B17A95"/>
    <w:rsid w:val="00B17D4B"/>
    <w:rsid w:val="00B17D65"/>
    <w:rsid w:val="00B17E49"/>
    <w:rsid w:val="00B17F49"/>
    <w:rsid w:val="00B20262"/>
    <w:rsid w:val="00B202F7"/>
    <w:rsid w:val="00B20392"/>
    <w:rsid w:val="00B203F9"/>
    <w:rsid w:val="00B20436"/>
    <w:rsid w:val="00B2055B"/>
    <w:rsid w:val="00B205E2"/>
    <w:rsid w:val="00B20792"/>
    <w:rsid w:val="00B2095C"/>
    <w:rsid w:val="00B20A81"/>
    <w:rsid w:val="00B20E7A"/>
    <w:rsid w:val="00B213EE"/>
    <w:rsid w:val="00B2149B"/>
    <w:rsid w:val="00B217A0"/>
    <w:rsid w:val="00B217BE"/>
    <w:rsid w:val="00B21BC0"/>
    <w:rsid w:val="00B21C14"/>
    <w:rsid w:val="00B21D93"/>
    <w:rsid w:val="00B21DB3"/>
    <w:rsid w:val="00B22196"/>
    <w:rsid w:val="00B223FA"/>
    <w:rsid w:val="00B22421"/>
    <w:rsid w:val="00B22461"/>
    <w:rsid w:val="00B224BD"/>
    <w:rsid w:val="00B2296B"/>
    <w:rsid w:val="00B22B1D"/>
    <w:rsid w:val="00B22E32"/>
    <w:rsid w:val="00B23275"/>
    <w:rsid w:val="00B233EE"/>
    <w:rsid w:val="00B23541"/>
    <w:rsid w:val="00B23698"/>
    <w:rsid w:val="00B237CF"/>
    <w:rsid w:val="00B23B0F"/>
    <w:rsid w:val="00B23C08"/>
    <w:rsid w:val="00B23C1C"/>
    <w:rsid w:val="00B23E14"/>
    <w:rsid w:val="00B24251"/>
    <w:rsid w:val="00B245DE"/>
    <w:rsid w:val="00B245FB"/>
    <w:rsid w:val="00B24787"/>
    <w:rsid w:val="00B24B11"/>
    <w:rsid w:val="00B24D2C"/>
    <w:rsid w:val="00B250C4"/>
    <w:rsid w:val="00B251E6"/>
    <w:rsid w:val="00B252CF"/>
    <w:rsid w:val="00B2531A"/>
    <w:rsid w:val="00B2532F"/>
    <w:rsid w:val="00B255CB"/>
    <w:rsid w:val="00B25A27"/>
    <w:rsid w:val="00B25C17"/>
    <w:rsid w:val="00B25FFE"/>
    <w:rsid w:val="00B26689"/>
    <w:rsid w:val="00B2686B"/>
    <w:rsid w:val="00B26AA1"/>
    <w:rsid w:val="00B26B21"/>
    <w:rsid w:val="00B26E69"/>
    <w:rsid w:val="00B26FFB"/>
    <w:rsid w:val="00B27067"/>
    <w:rsid w:val="00B2707D"/>
    <w:rsid w:val="00B270EA"/>
    <w:rsid w:val="00B2711C"/>
    <w:rsid w:val="00B276ED"/>
    <w:rsid w:val="00B27A0D"/>
    <w:rsid w:val="00B27ACE"/>
    <w:rsid w:val="00B27B90"/>
    <w:rsid w:val="00B27DBD"/>
    <w:rsid w:val="00B27ED5"/>
    <w:rsid w:val="00B30064"/>
    <w:rsid w:val="00B3031E"/>
    <w:rsid w:val="00B304D0"/>
    <w:rsid w:val="00B30575"/>
    <w:rsid w:val="00B30A62"/>
    <w:rsid w:val="00B30BE9"/>
    <w:rsid w:val="00B30BEE"/>
    <w:rsid w:val="00B30CDD"/>
    <w:rsid w:val="00B30DB8"/>
    <w:rsid w:val="00B30E46"/>
    <w:rsid w:val="00B31036"/>
    <w:rsid w:val="00B31054"/>
    <w:rsid w:val="00B31206"/>
    <w:rsid w:val="00B312EF"/>
    <w:rsid w:val="00B314F1"/>
    <w:rsid w:val="00B31930"/>
    <w:rsid w:val="00B3196F"/>
    <w:rsid w:val="00B319DC"/>
    <w:rsid w:val="00B31A37"/>
    <w:rsid w:val="00B31B51"/>
    <w:rsid w:val="00B31F24"/>
    <w:rsid w:val="00B320CB"/>
    <w:rsid w:val="00B327C7"/>
    <w:rsid w:val="00B32EE7"/>
    <w:rsid w:val="00B3305A"/>
    <w:rsid w:val="00B330DB"/>
    <w:rsid w:val="00B3351A"/>
    <w:rsid w:val="00B33574"/>
    <w:rsid w:val="00B335B9"/>
    <w:rsid w:val="00B33C80"/>
    <w:rsid w:val="00B33C8B"/>
    <w:rsid w:val="00B33F17"/>
    <w:rsid w:val="00B33FA5"/>
    <w:rsid w:val="00B3400B"/>
    <w:rsid w:val="00B34238"/>
    <w:rsid w:val="00B343AE"/>
    <w:rsid w:val="00B344EB"/>
    <w:rsid w:val="00B34609"/>
    <w:rsid w:val="00B34655"/>
    <w:rsid w:val="00B3481E"/>
    <w:rsid w:val="00B348CF"/>
    <w:rsid w:val="00B34940"/>
    <w:rsid w:val="00B34A86"/>
    <w:rsid w:val="00B34AD0"/>
    <w:rsid w:val="00B34C7B"/>
    <w:rsid w:val="00B34EA4"/>
    <w:rsid w:val="00B350B4"/>
    <w:rsid w:val="00B3513A"/>
    <w:rsid w:val="00B353F3"/>
    <w:rsid w:val="00B35934"/>
    <w:rsid w:val="00B35B43"/>
    <w:rsid w:val="00B35BEA"/>
    <w:rsid w:val="00B35CFF"/>
    <w:rsid w:val="00B3605B"/>
    <w:rsid w:val="00B36586"/>
    <w:rsid w:val="00B365D4"/>
    <w:rsid w:val="00B3664F"/>
    <w:rsid w:val="00B367CB"/>
    <w:rsid w:val="00B3681B"/>
    <w:rsid w:val="00B37033"/>
    <w:rsid w:val="00B37169"/>
    <w:rsid w:val="00B3722F"/>
    <w:rsid w:val="00B3775D"/>
    <w:rsid w:val="00B37780"/>
    <w:rsid w:val="00B378D7"/>
    <w:rsid w:val="00B379DE"/>
    <w:rsid w:val="00B37A4D"/>
    <w:rsid w:val="00B40221"/>
    <w:rsid w:val="00B402E2"/>
    <w:rsid w:val="00B404E5"/>
    <w:rsid w:val="00B40649"/>
    <w:rsid w:val="00B4072F"/>
    <w:rsid w:val="00B407C0"/>
    <w:rsid w:val="00B407D9"/>
    <w:rsid w:val="00B40FEE"/>
    <w:rsid w:val="00B41497"/>
    <w:rsid w:val="00B414FF"/>
    <w:rsid w:val="00B4163E"/>
    <w:rsid w:val="00B41770"/>
    <w:rsid w:val="00B4177B"/>
    <w:rsid w:val="00B41849"/>
    <w:rsid w:val="00B41867"/>
    <w:rsid w:val="00B41CF9"/>
    <w:rsid w:val="00B41E0F"/>
    <w:rsid w:val="00B41E50"/>
    <w:rsid w:val="00B41FAC"/>
    <w:rsid w:val="00B4237D"/>
    <w:rsid w:val="00B4247D"/>
    <w:rsid w:val="00B42641"/>
    <w:rsid w:val="00B42740"/>
    <w:rsid w:val="00B42764"/>
    <w:rsid w:val="00B42C5F"/>
    <w:rsid w:val="00B42CDD"/>
    <w:rsid w:val="00B42D47"/>
    <w:rsid w:val="00B42FEB"/>
    <w:rsid w:val="00B43003"/>
    <w:rsid w:val="00B43914"/>
    <w:rsid w:val="00B43A3A"/>
    <w:rsid w:val="00B43BE7"/>
    <w:rsid w:val="00B444C1"/>
    <w:rsid w:val="00B4496E"/>
    <w:rsid w:val="00B44A10"/>
    <w:rsid w:val="00B44CF0"/>
    <w:rsid w:val="00B44EB9"/>
    <w:rsid w:val="00B45131"/>
    <w:rsid w:val="00B4513C"/>
    <w:rsid w:val="00B451AD"/>
    <w:rsid w:val="00B452EC"/>
    <w:rsid w:val="00B45343"/>
    <w:rsid w:val="00B458B4"/>
    <w:rsid w:val="00B45926"/>
    <w:rsid w:val="00B45D2D"/>
    <w:rsid w:val="00B4653D"/>
    <w:rsid w:val="00B4654D"/>
    <w:rsid w:val="00B46DAC"/>
    <w:rsid w:val="00B46F71"/>
    <w:rsid w:val="00B47738"/>
    <w:rsid w:val="00B4780F"/>
    <w:rsid w:val="00B478EE"/>
    <w:rsid w:val="00B479D3"/>
    <w:rsid w:val="00B47A52"/>
    <w:rsid w:val="00B47E2D"/>
    <w:rsid w:val="00B500BB"/>
    <w:rsid w:val="00B5039D"/>
    <w:rsid w:val="00B5043C"/>
    <w:rsid w:val="00B50640"/>
    <w:rsid w:val="00B5065A"/>
    <w:rsid w:val="00B5074C"/>
    <w:rsid w:val="00B50A98"/>
    <w:rsid w:val="00B50DC8"/>
    <w:rsid w:val="00B5101C"/>
    <w:rsid w:val="00B510E0"/>
    <w:rsid w:val="00B5114A"/>
    <w:rsid w:val="00B511AC"/>
    <w:rsid w:val="00B516DF"/>
    <w:rsid w:val="00B51D66"/>
    <w:rsid w:val="00B520F2"/>
    <w:rsid w:val="00B52490"/>
    <w:rsid w:val="00B530A4"/>
    <w:rsid w:val="00B532A2"/>
    <w:rsid w:val="00B5369E"/>
    <w:rsid w:val="00B536A2"/>
    <w:rsid w:val="00B537D6"/>
    <w:rsid w:val="00B538B8"/>
    <w:rsid w:val="00B53B41"/>
    <w:rsid w:val="00B53B5C"/>
    <w:rsid w:val="00B53CF8"/>
    <w:rsid w:val="00B54051"/>
    <w:rsid w:val="00B54337"/>
    <w:rsid w:val="00B543EB"/>
    <w:rsid w:val="00B5446B"/>
    <w:rsid w:val="00B545AF"/>
    <w:rsid w:val="00B547DD"/>
    <w:rsid w:val="00B54947"/>
    <w:rsid w:val="00B54BB6"/>
    <w:rsid w:val="00B54CDA"/>
    <w:rsid w:val="00B54E6C"/>
    <w:rsid w:val="00B54F1A"/>
    <w:rsid w:val="00B55453"/>
    <w:rsid w:val="00B55647"/>
    <w:rsid w:val="00B556E5"/>
    <w:rsid w:val="00B5585B"/>
    <w:rsid w:val="00B558C2"/>
    <w:rsid w:val="00B55939"/>
    <w:rsid w:val="00B5594E"/>
    <w:rsid w:val="00B55C14"/>
    <w:rsid w:val="00B55DA0"/>
    <w:rsid w:val="00B5616E"/>
    <w:rsid w:val="00B561AF"/>
    <w:rsid w:val="00B5634B"/>
    <w:rsid w:val="00B56471"/>
    <w:rsid w:val="00B56574"/>
    <w:rsid w:val="00B567F1"/>
    <w:rsid w:val="00B56968"/>
    <w:rsid w:val="00B56B25"/>
    <w:rsid w:val="00B56C53"/>
    <w:rsid w:val="00B56ED9"/>
    <w:rsid w:val="00B56EEB"/>
    <w:rsid w:val="00B56F1D"/>
    <w:rsid w:val="00B57498"/>
    <w:rsid w:val="00B57501"/>
    <w:rsid w:val="00B575FE"/>
    <w:rsid w:val="00B57663"/>
    <w:rsid w:val="00B5772F"/>
    <w:rsid w:val="00B577E7"/>
    <w:rsid w:val="00B57838"/>
    <w:rsid w:val="00B578C2"/>
    <w:rsid w:val="00B57981"/>
    <w:rsid w:val="00B57A79"/>
    <w:rsid w:val="00B57B1C"/>
    <w:rsid w:val="00B600AC"/>
    <w:rsid w:val="00B601B4"/>
    <w:rsid w:val="00B602B5"/>
    <w:rsid w:val="00B609CA"/>
    <w:rsid w:val="00B60A96"/>
    <w:rsid w:val="00B60C23"/>
    <w:rsid w:val="00B60D64"/>
    <w:rsid w:val="00B60F58"/>
    <w:rsid w:val="00B61051"/>
    <w:rsid w:val="00B6106B"/>
    <w:rsid w:val="00B611AD"/>
    <w:rsid w:val="00B611FA"/>
    <w:rsid w:val="00B61C54"/>
    <w:rsid w:val="00B61E31"/>
    <w:rsid w:val="00B6201D"/>
    <w:rsid w:val="00B62144"/>
    <w:rsid w:val="00B622CB"/>
    <w:rsid w:val="00B62487"/>
    <w:rsid w:val="00B62667"/>
    <w:rsid w:val="00B629D9"/>
    <w:rsid w:val="00B62CDA"/>
    <w:rsid w:val="00B62DB0"/>
    <w:rsid w:val="00B62F9B"/>
    <w:rsid w:val="00B63046"/>
    <w:rsid w:val="00B6305E"/>
    <w:rsid w:val="00B6423E"/>
    <w:rsid w:val="00B6432E"/>
    <w:rsid w:val="00B64422"/>
    <w:rsid w:val="00B645BE"/>
    <w:rsid w:val="00B64A87"/>
    <w:rsid w:val="00B64CCA"/>
    <w:rsid w:val="00B64E1F"/>
    <w:rsid w:val="00B64F66"/>
    <w:rsid w:val="00B65269"/>
    <w:rsid w:val="00B6556F"/>
    <w:rsid w:val="00B65B8E"/>
    <w:rsid w:val="00B65EC9"/>
    <w:rsid w:val="00B6606D"/>
    <w:rsid w:val="00B661DA"/>
    <w:rsid w:val="00B66258"/>
    <w:rsid w:val="00B664DE"/>
    <w:rsid w:val="00B66A65"/>
    <w:rsid w:val="00B66AC1"/>
    <w:rsid w:val="00B66CBA"/>
    <w:rsid w:val="00B66CF0"/>
    <w:rsid w:val="00B66DFE"/>
    <w:rsid w:val="00B66E68"/>
    <w:rsid w:val="00B67226"/>
    <w:rsid w:val="00B6754F"/>
    <w:rsid w:val="00B678FD"/>
    <w:rsid w:val="00B67A6E"/>
    <w:rsid w:val="00B67C6C"/>
    <w:rsid w:val="00B67CDC"/>
    <w:rsid w:val="00B700FC"/>
    <w:rsid w:val="00B7017C"/>
    <w:rsid w:val="00B70291"/>
    <w:rsid w:val="00B702D6"/>
    <w:rsid w:val="00B70621"/>
    <w:rsid w:val="00B7097E"/>
    <w:rsid w:val="00B709B5"/>
    <w:rsid w:val="00B709CA"/>
    <w:rsid w:val="00B70BC8"/>
    <w:rsid w:val="00B70CF1"/>
    <w:rsid w:val="00B70D08"/>
    <w:rsid w:val="00B70EE9"/>
    <w:rsid w:val="00B7104B"/>
    <w:rsid w:val="00B715C7"/>
    <w:rsid w:val="00B716C4"/>
    <w:rsid w:val="00B71AB1"/>
    <w:rsid w:val="00B71CA2"/>
    <w:rsid w:val="00B71D86"/>
    <w:rsid w:val="00B71DE6"/>
    <w:rsid w:val="00B71E5E"/>
    <w:rsid w:val="00B71EF6"/>
    <w:rsid w:val="00B72216"/>
    <w:rsid w:val="00B7222F"/>
    <w:rsid w:val="00B7255C"/>
    <w:rsid w:val="00B72857"/>
    <w:rsid w:val="00B72CFC"/>
    <w:rsid w:val="00B72D5E"/>
    <w:rsid w:val="00B72E30"/>
    <w:rsid w:val="00B730AB"/>
    <w:rsid w:val="00B7336E"/>
    <w:rsid w:val="00B7352C"/>
    <w:rsid w:val="00B738A3"/>
    <w:rsid w:val="00B739B0"/>
    <w:rsid w:val="00B73B1D"/>
    <w:rsid w:val="00B73D85"/>
    <w:rsid w:val="00B73D94"/>
    <w:rsid w:val="00B7410B"/>
    <w:rsid w:val="00B743C3"/>
    <w:rsid w:val="00B746C1"/>
    <w:rsid w:val="00B746CD"/>
    <w:rsid w:val="00B749F4"/>
    <w:rsid w:val="00B750FB"/>
    <w:rsid w:val="00B7512B"/>
    <w:rsid w:val="00B754A0"/>
    <w:rsid w:val="00B755EE"/>
    <w:rsid w:val="00B75733"/>
    <w:rsid w:val="00B7578C"/>
    <w:rsid w:val="00B757A5"/>
    <w:rsid w:val="00B75921"/>
    <w:rsid w:val="00B75A28"/>
    <w:rsid w:val="00B75AD8"/>
    <w:rsid w:val="00B76069"/>
    <w:rsid w:val="00B763BB"/>
    <w:rsid w:val="00B76681"/>
    <w:rsid w:val="00B76ADE"/>
    <w:rsid w:val="00B76B8F"/>
    <w:rsid w:val="00B76CCF"/>
    <w:rsid w:val="00B76CDB"/>
    <w:rsid w:val="00B76FE7"/>
    <w:rsid w:val="00B7729F"/>
    <w:rsid w:val="00B77459"/>
    <w:rsid w:val="00B7764D"/>
    <w:rsid w:val="00B7775D"/>
    <w:rsid w:val="00B77A91"/>
    <w:rsid w:val="00B805D9"/>
    <w:rsid w:val="00B806C1"/>
    <w:rsid w:val="00B80BE8"/>
    <w:rsid w:val="00B80CD9"/>
    <w:rsid w:val="00B81138"/>
    <w:rsid w:val="00B81311"/>
    <w:rsid w:val="00B813BA"/>
    <w:rsid w:val="00B817E7"/>
    <w:rsid w:val="00B818F1"/>
    <w:rsid w:val="00B8190B"/>
    <w:rsid w:val="00B8190C"/>
    <w:rsid w:val="00B81B86"/>
    <w:rsid w:val="00B826DD"/>
    <w:rsid w:val="00B82855"/>
    <w:rsid w:val="00B8289E"/>
    <w:rsid w:val="00B82DE2"/>
    <w:rsid w:val="00B82DEF"/>
    <w:rsid w:val="00B82EF6"/>
    <w:rsid w:val="00B83261"/>
    <w:rsid w:val="00B83277"/>
    <w:rsid w:val="00B8327B"/>
    <w:rsid w:val="00B832F1"/>
    <w:rsid w:val="00B8360A"/>
    <w:rsid w:val="00B83610"/>
    <w:rsid w:val="00B8363B"/>
    <w:rsid w:val="00B83824"/>
    <w:rsid w:val="00B83BAB"/>
    <w:rsid w:val="00B83CF5"/>
    <w:rsid w:val="00B83E1F"/>
    <w:rsid w:val="00B84669"/>
    <w:rsid w:val="00B84752"/>
    <w:rsid w:val="00B84876"/>
    <w:rsid w:val="00B84955"/>
    <w:rsid w:val="00B84DAD"/>
    <w:rsid w:val="00B8506E"/>
    <w:rsid w:val="00B85205"/>
    <w:rsid w:val="00B8548D"/>
    <w:rsid w:val="00B85596"/>
    <w:rsid w:val="00B856A7"/>
    <w:rsid w:val="00B85811"/>
    <w:rsid w:val="00B8596F"/>
    <w:rsid w:val="00B859D3"/>
    <w:rsid w:val="00B85F6C"/>
    <w:rsid w:val="00B8634A"/>
    <w:rsid w:val="00B86590"/>
    <w:rsid w:val="00B869E0"/>
    <w:rsid w:val="00B86A05"/>
    <w:rsid w:val="00B86AFE"/>
    <w:rsid w:val="00B86C76"/>
    <w:rsid w:val="00B86CF1"/>
    <w:rsid w:val="00B86DA8"/>
    <w:rsid w:val="00B86EFC"/>
    <w:rsid w:val="00B8712D"/>
    <w:rsid w:val="00B87474"/>
    <w:rsid w:val="00B875FD"/>
    <w:rsid w:val="00B8764A"/>
    <w:rsid w:val="00B87984"/>
    <w:rsid w:val="00B879FD"/>
    <w:rsid w:val="00B87A68"/>
    <w:rsid w:val="00B87E1E"/>
    <w:rsid w:val="00B905B3"/>
    <w:rsid w:val="00B90B32"/>
    <w:rsid w:val="00B90B46"/>
    <w:rsid w:val="00B90DA1"/>
    <w:rsid w:val="00B90F71"/>
    <w:rsid w:val="00B91020"/>
    <w:rsid w:val="00B91599"/>
    <w:rsid w:val="00B915A7"/>
    <w:rsid w:val="00B91B0E"/>
    <w:rsid w:val="00B91B69"/>
    <w:rsid w:val="00B91BCE"/>
    <w:rsid w:val="00B91F45"/>
    <w:rsid w:val="00B924AC"/>
    <w:rsid w:val="00B9261F"/>
    <w:rsid w:val="00B92623"/>
    <w:rsid w:val="00B926B8"/>
    <w:rsid w:val="00B92E30"/>
    <w:rsid w:val="00B92EFB"/>
    <w:rsid w:val="00B92FD0"/>
    <w:rsid w:val="00B930EE"/>
    <w:rsid w:val="00B9323E"/>
    <w:rsid w:val="00B93569"/>
    <w:rsid w:val="00B935DB"/>
    <w:rsid w:val="00B936FF"/>
    <w:rsid w:val="00B937DE"/>
    <w:rsid w:val="00B93D81"/>
    <w:rsid w:val="00B93D86"/>
    <w:rsid w:val="00B9416A"/>
    <w:rsid w:val="00B946C0"/>
    <w:rsid w:val="00B94B51"/>
    <w:rsid w:val="00B94DB4"/>
    <w:rsid w:val="00B94E1A"/>
    <w:rsid w:val="00B95070"/>
    <w:rsid w:val="00B9511C"/>
    <w:rsid w:val="00B95194"/>
    <w:rsid w:val="00B9544D"/>
    <w:rsid w:val="00B955D7"/>
    <w:rsid w:val="00B95661"/>
    <w:rsid w:val="00B95685"/>
    <w:rsid w:val="00B957E9"/>
    <w:rsid w:val="00B9582E"/>
    <w:rsid w:val="00B95945"/>
    <w:rsid w:val="00B9597B"/>
    <w:rsid w:val="00B959AD"/>
    <w:rsid w:val="00B95AB0"/>
    <w:rsid w:val="00B95CAA"/>
    <w:rsid w:val="00B95F2E"/>
    <w:rsid w:val="00B9605E"/>
    <w:rsid w:val="00B96113"/>
    <w:rsid w:val="00B963BB"/>
    <w:rsid w:val="00B963E3"/>
    <w:rsid w:val="00B963FB"/>
    <w:rsid w:val="00B96B73"/>
    <w:rsid w:val="00B96F0C"/>
    <w:rsid w:val="00B96F14"/>
    <w:rsid w:val="00B9712A"/>
    <w:rsid w:val="00B974C8"/>
    <w:rsid w:val="00B9786F"/>
    <w:rsid w:val="00B978FD"/>
    <w:rsid w:val="00B97A09"/>
    <w:rsid w:val="00BA00FF"/>
    <w:rsid w:val="00BA0354"/>
    <w:rsid w:val="00BA0427"/>
    <w:rsid w:val="00BA071F"/>
    <w:rsid w:val="00BA0976"/>
    <w:rsid w:val="00BA0A1A"/>
    <w:rsid w:val="00BA0A92"/>
    <w:rsid w:val="00BA0B6E"/>
    <w:rsid w:val="00BA0E46"/>
    <w:rsid w:val="00BA0E7F"/>
    <w:rsid w:val="00BA11E5"/>
    <w:rsid w:val="00BA1686"/>
    <w:rsid w:val="00BA16E1"/>
    <w:rsid w:val="00BA1817"/>
    <w:rsid w:val="00BA1846"/>
    <w:rsid w:val="00BA1B17"/>
    <w:rsid w:val="00BA1E5C"/>
    <w:rsid w:val="00BA2122"/>
    <w:rsid w:val="00BA22D7"/>
    <w:rsid w:val="00BA23C4"/>
    <w:rsid w:val="00BA242C"/>
    <w:rsid w:val="00BA289F"/>
    <w:rsid w:val="00BA2A51"/>
    <w:rsid w:val="00BA2DAF"/>
    <w:rsid w:val="00BA3082"/>
    <w:rsid w:val="00BA32F3"/>
    <w:rsid w:val="00BA3424"/>
    <w:rsid w:val="00BA3693"/>
    <w:rsid w:val="00BA396F"/>
    <w:rsid w:val="00BA3B94"/>
    <w:rsid w:val="00BA3E50"/>
    <w:rsid w:val="00BA3F8F"/>
    <w:rsid w:val="00BA404D"/>
    <w:rsid w:val="00BA42C2"/>
    <w:rsid w:val="00BA431A"/>
    <w:rsid w:val="00BA43A2"/>
    <w:rsid w:val="00BA46BA"/>
    <w:rsid w:val="00BA48D7"/>
    <w:rsid w:val="00BA4907"/>
    <w:rsid w:val="00BA4A9A"/>
    <w:rsid w:val="00BA4BE2"/>
    <w:rsid w:val="00BA4D08"/>
    <w:rsid w:val="00BA4D26"/>
    <w:rsid w:val="00BA4D32"/>
    <w:rsid w:val="00BA4D7B"/>
    <w:rsid w:val="00BA4DE2"/>
    <w:rsid w:val="00BA4E72"/>
    <w:rsid w:val="00BA5071"/>
    <w:rsid w:val="00BA507A"/>
    <w:rsid w:val="00BA53F9"/>
    <w:rsid w:val="00BA5733"/>
    <w:rsid w:val="00BA5D35"/>
    <w:rsid w:val="00BA610F"/>
    <w:rsid w:val="00BA6149"/>
    <w:rsid w:val="00BA6473"/>
    <w:rsid w:val="00BA694B"/>
    <w:rsid w:val="00BA697D"/>
    <w:rsid w:val="00BA6BF1"/>
    <w:rsid w:val="00BA6D68"/>
    <w:rsid w:val="00BA7231"/>
    <w:rsid w:val="00BA73A0"/>
    <w:rsid w:val="00BA75FD"/>
    <w:rsid w:val="00BA7718"/>
    <w:rsid w:val="00BA7779"/>
    <w:rsid w:val="00BA7791"/>
    <w:rsid w:val="00BA7857"/>
    <w:rsid w:val="00BA78A3"/>
    <w:rsid w:val="00BB0376"/>
    <w:rsid w:val="00BB058A"/>
    <w:rsid w:val="00BB067C"/>
    <w:rsid w:val="00BB070D"/>
    <w:rsid w:val="00BB094A"/>
    <w:rsid w:val="00BB0CF9"/>
    <w:rsid w:val="00BB0E21"/>
    <w:rsid w:val="00BB1335"/>
    <w:rsid w:val="00BB1AA2"/>
    <w:rsid w:val="00BB1B0B"/>
    <w:rsid w:val="00BB1FF4"/>
    <w:rsid w:val="00BB2299"/>
    <w:rsid w:val="00BB2548"/>
    <w:rsid w:val="00BB3007"/>
    <w:rsid w:val="00BB3572"/>
    <w:rsid w:val="00BB387B"/>
    <w:rsid w:val="00BB3C99"/>
    <w:rsid w:val="00BB3E35"/>
    <w:rsid w:val="00BB40DB"/>
    <w:rsid w:val="00BB417F"/>
    <w:rsid w:val="00BB4250"/>
    <w:rsid w:val="00BB4431"/>
    <w:rsid w:val="00BB4448"/>
    <w:rsid w:val="00BB4625"/>
    <w:rsid w:val="00BB4C0C"/>
    <w:rsid w:val="00BB4CCA"/>
    <w:rsid w:val="00BB4F4E"/>
    <w:rsid w:val="00BB594F"/>
    <w:rsid w:val="00BB5958"/>
    <w:rsid w:val="00BB5991"/>
    <w:rsid w:val="00BB5A4B"/>
    <w:rsid w:val="00BB5A85"/>
    <w:rsid w:val="00BB5C2C"/>
    <w:rsid w:val="00BB5E60"/>
    <w:rsid w:val="00BB5F28"/>
    <w:rsid w:val="00BB60DA"/>
    <w:rsid w:val="00BB61CE"/>
    <w:rsid w:val="00BB63C6"/>
    <w:rsid w:val="00BB6557"/>
    <w:rsid w:val="00BB6583"/>
    <w:rsid w:val="00BB676A"/>
    <w:rsid w:val="00BB6A1E"/>
    <w:rsid w:val="00BB6B74"/>
    <w:rsid w:val="00BB6D1F"/>
    <w:rsid w:val="00BB7303"/>
    <w:rsid w:val="00BB73A6"/>
    <w:rsid w:val="00BB7453"/>
    <w:rsid w:val="00BB74FD"/>
    <w:rsid w:val="00BB7836"/>
    <w:rsid w:val="00BB7944"/>
    <w:rsid w:val="00BB7A4A"/>
    <w:rsid w:val="00BB7A95"/>
    <w:rsid w:val="00BB7C7A"/>
    <w:rsid w:val="00BB7DF6"/>
    <w:rsid w:val="00BB7E4D"/>
    <w:rsid w:val="00BB7F62"/>
    <w:rsid w:val="00BB7F9D"/>
    <w:rsid w:val="00BC0074"/>
    <w:rsid w:val="00BC046D"/>
    <w:rsid w:val="00BC05BE"/>
    <w:rsid w:val="00BC071E"/>
    <w:rsid w:val="00BC0773"/>
    <w:rsid w:val="00BC07AF"/>
    <w:rsid w:val="00BC0857"/>
    <w:rsid w:val="00BC0922"/>
    <w:rsid w:val="00BC09A0"/>
    <w:rsid w:val="00BC0CA0"/>
    <w:rsid w:val="00BC0FDE"/>
    <w:rsid w:val="00BC10C1"/>
    <w:rsid w:val="00BC136D"/>
    <w:rsid w:val="00BC1573"/>
    <w:rsid w:val="00BC15AC"/>
    <w:rsid w:val="00BC19B4"/>
    <w:rsid w:val="00BC1D0F"/>
    <w:rsid w:val="00BC1D1C"/>
    <w:rsid w:val="00BC1DC9"/>
    <w:rsid w:val="00BC1E77"/>
    <w:rsid w:val="00BC200D"/>
    <w:rsid w:val="00BC2099"/>
    <w:rsid w:val="00BC2168"/>
    <w:rsid w:val="00BC2484"/>
    <w:rsid w:val="00BC2866"/>
    <w:rsid w:val="00BC2877"/>
    <w:rsid w:val="00BC2890"/>
    <w:rsid w:val="00BC2A9A"/>
    <w:rsid w:val="00BC2BCA"/>
    <w:rsid w:val="00BC2C29"/>
    <w:rsid w:val="00BC2C7D"/>
    <w:rsid w:val="00BC2C90"/>
    <w:rsid w:val="00BC312E"/>
    <w:rsid w:val="00BC326F"/>
    <w:rsid w:val="00BC35B2"/>
    <w:rsid w:val="00BC3815"/>
    <w:rsid w:val="00BC383A"/>
    <w:rsid w:val="00BC385E"/>
    <w:rsid w:val="00BC3962"/>
    <w:rsid w:val="00BC3E9E"/>
    <w:rsid w:val="00BC4193"/>
    <w:rsid w:val="00BC41D2"/>
    <w:rsid w:val="00BC432F"/>
    <w:rsid w:val="00BC44C2"/>
    <w:rsid w:val="00BC4B2E"/>
    <w:rsid w:val="00BC4F39"/>
    <w:rsid w:val="00BC5413"/>
    <w:rsid w:val="00BC5689"/>
    <w:rsid w:val="00BC5A7C"/>
    <w:rsid w:val="00BC5E5A"/>
    <w:rsid w:val="00BC5EBB"/>
    <w:rsid w:val="00BC5FD2"/>
    <w:rsid w:val="00BC6046"/>
    <w:rsid w:val="00BC6130"/>
    <w:rsid w:val="00BC652F"/>
    <w:rsid w:val="00BC66BD"/>
    <w:rsid w:val="00BC6861"/>
    <w:rsid w:val="00BC6B98"/>
    <w:rsid w:val="00BC6F00"/>
    <w:rsid w:val="00BC6FD2"/>
    <w:rsid w:val="00BC7191"/>
    <w:rsid w:val="00BC7428"/>
    <w:rsid w:val="00BC7702"/>
    <w:rsid w:val="00BC78FB"/>
    <w:rsid w:val="00BC7C3E"/>
    <w:rsid w:val="00BC7E44"/>
    <w:rsid w:val="00BD01A7"/>
    <w:rsid w:val="00BD05D4"/>
    <w:rsid w:val="00BD0799"/>
    <w:rsid w:val="00BD0974"/>
    <w:rsid w:val="00BD0A50"/>
    <w:rsid w:val="00BD0BAB"/>
    <w:rsid w:val="00BD0BE9"/>
    <w:rsid w:val="00BD0C9E"/>
    <w:rsid w:val="00BD0DC8"/>
    <w:rsid w:val="00BD0E2D"/>
    <w:rsid w:val="00BD129A"/>
    <w:rsid w:val="00BD14D5"/>
    <w:rsid w:val="00BD153C"/>
    <w:rsid w:val="00BD160F"/>
    <w:rsid w:val="00BD187A"/>
    <w:rsid w:val="00BD1B6D"/>
    <w:rsid w:val="00BD1C35"/>
    <w:rsid w:val="00BD1C60"/>
    <w:rsid w:val="00BD1DB8"/>
    <w:rsid w:val="00BD1EB1"/>
    <w:rsid w:val="00BD22FF"/>
    <w:rsid w:val="00BD24FC"/>
    <w:rsid w:val="00BD277A"/>
    <w:rsid w:val="00BD2AB2"/>
    <w:rsid w:val="00BD2B01"/>
    <w:rsid w:val="00BD2EA2"/>
    <w:rsid w:val="00BD3036"/>
    <w:rsid w:val="00BD30C7"/>
    <w:rsid w:val="00BD31A3"/>
    <w:rsid w:val="00BD3220"/>
    <w:rsid w:val="00BD329E"/>
    <w:rsid w:val="00BD349C"/>
    <w:rsid w:val="00BD3745"/>
    <w:rsid w:val="00BD3770"/>
    <w:rsid w:val="00BD38C8"/>
    <w:rsid w:val="00BD3D46"/>
    <w:rsid w:val="00BD3DD5"/>
    <w:rsid w:val="00BD4180"/>
    <w:rsid w:val="00BD460C"/>
    <w:rsid w:val="00BD4677"/>
    <w:rsid w:val="00BD47F2"/>
    <w:rsid w:val="00BD4C3B"/>
    <w:rsid w:val="00BD4F59"/>
    <w:rsid w:val="00BD523F"/>
    <w:rsid w:val="00BD5ECD"/>
    <w:rsid w:val="00BD6095"/>
    <w:rsid w:val="00BD617C"/>
    <w:rsid w:val="00BD61D2"/>
    <w:rsid w:val="00BD6646"/>
    <w:rsid w:val="00BD685E"/>
    <w:rsid w:val="00BD6AD4"/>
    <w:rsid w:val="00BD6AFF"/>
    <w:rsid w:val="00BD6C6D"/>
    <w:rsid w:val="00BD7421"/>
    <w:rsid w:val="00BD7596"/>
    <w:rsid w:val="00BD7978"/>
    <w:rsid w:val="00BD7BDF"/>
    <w:rsid w:val="00BE0144"/>
    <w:rsid w:val="00BE063E"/>
    <w:rsid w:val="00BE0845"/>
    <w:rsid w:val="00BE08BC"/>
    <w:rsid w:val="00BE097B"/>
    <w:rsid w:val="00BE0C13"/>
    <w:rsid w:val="00BE0F8C"/>
    <w:rsid w:val="00BE13F4"/>
    <w:rsid w:val="00BE14BE"/>
    <w:rsid w:val="00BE1568"/>
    <w:rsid w:val="00BE1626"/>
    <w:rsid w:val="00BE1660"/>
    <w:rsid w:val="00BE17E1"/>
    <w:rsid w:val="00BE1A6A"/>
    <w:rsid w:val="00BE1C26"/>
    <w:rsid w:val="00BE1C74"/>
    <w:rsid w:val="00BE1C76"/>
    <w:rsid w:val="00BE1C9D"/>
    <w:rsid w:val="00BE1DB2"/>
    <w:rsid w:val="00BE2105"/>
    <w:rsid w:val="00BE2179"/>
    <w:rsid w:val="00BE2245"/>
    <w:rsid w:val="00BE22AD"/>
    <w:rsid w:val="00BE2505"/>
    <w:rsid w:val="00BE26D2"/>
    <w:rsid w:val="00BE2CA4"/>
    <w:rsid w:val="00BE2EA9"/>
    <w:rsid w:val="00BE318D"/>
    <w:rsid w:val="00BE346F"/>
    <w:rsid w:val="00BE3953"/>
    <w:rsid w:val="00BE3D81"/>
    <w:rsid w:val="00BE3E33"/>
    <w:rsid w:val="00BE3F77"/>
    <w:rsid w:val="00BE3FE3"/>
    <w:rsid w:val="00BE414D"/>
    <w:rsid w:val="00BE424C"/>
    <w:rsid w:val="00BE434D"/>
    <w:rsid w:val="00BE4561"/>
    <w:rsid w:val="00BE4876"/>
    <w:rsid w:val="00BE4AA8"/>
    <w:rsid w:val="00BE587D"/>
    <w:rsid w:val="00BE61B5"/>
    <w:rsid w:val="00BE6211"/>
    <w:rsid w:val="00BE62FB"/>
    <w:rsid w:val="00BE63AD"/>
    <w:rsid w:val="00BE650D"/>
    <w:rsid w:val="00BE6A63"/>
    <w:rsid w:val="00BE6FD3"/>
    <w:rsid w:val="00BE7017"/>
    <w:rsid w:val="00BE71A6"/>
    <w:rsid w:val="00BE73E8"/>
    <w:rsid w:val="00BE757B"/>
    <w:rsid w:val="00BE768C"/>
    <w:rsid w:val="00BE77D8"/>
    <w:rsid w:val="00BE7949"/>
    <w:rsid w:val="00BE7A09"/>
    <w:rsid w:val="00BE7AC9"/>
    <w:rsid w:val="00BE7AEF"/>
    <w:rsid w:val="00BE7CB6"/>
    <w:rsid w:val="00BE7D3E"/>
    <w:rsid w:val="00BE7E59"/>
    <w:rsid w:val="00BE7EDA"/>
    <w:rsid w:val="00BF0271"/>
    <w:rsid w:val="00BF02BB"/>
    <w:rsid w:val="00BF052F"/>
    <w:rsid w:val="00BF062A"/>
    <w:rsid w:val="00BF08B0"/>
    <w:rsid w:val="00BF0A0C"/>
    <w:rsid w:val="00BF0B42"/>
    <w:rsid w:val="00BF0FEC"/>
    <w:rsid w:val="00BF10BF"/>
    <w:rsid w:val="00BF1515"/>
    <w:rsid w:val="00BF154D"/>
    <w:rsid w:val="00BF19DE"/>
    <w:rsid w:val="00BF1A8F"/>
    <w:rsid w:val="00BF1BF2"/>
    <w:rsid w:val="00BF1CD7"/>
    <w:rsid w:val="00BF1D59"/>
    <w:rsid w:val="00BF1E94"/>
    <w:rsid w:val="00BF2028"/>
    <w:rsid w:val="00BF2152"/>
    <w:rsid w:val="00BF21E8"/>
    <w:rsid w:val="00BF22CE"/>
    <w:rsid w:val="00BF23E1"/>
    <w:rsid w:val="00BF283E"/>
    <w:rsid w:val="00BF29DD"/>
    <w:rsid w:val="00BF32BF"/>
    <w:rsid w:val="00BF3353"/>
    <w:rsid w:val="00BF337E"/>
    <w:rsid w:val="00BF35BF"/>
    <w:rsid w:val="00BF3AA9"/>
    <w:rsid w:val="00BF3B7C"/>
    <w:rsid w:val="00BF3C8F"/>
    <w:rsid w:val="00BF4352"/>
    <w:rsid w:val="00BF4393"/>
    <w:rsid w:val="00BF453C"/>
    <w:rsid w:val="00BF45D5"/>
    <w:rsid w:val="00BF4871"/>
    <w:rsid w:val="00BF4896"/>
    <w:rsid w:val="00BF48EC"/>
    <w:rsid w:val="00BF4A14"/>
    <w:rsid w:val="00BF4A80"/>
    <w:rsid w:val="00BF4A96"/>
    <w:rsid w:val="00BF4BD3"/>
    <w:rsid w:val="00BF4F81"/>
    <w:rsid w:val="00BF51E5"/>
    <w:rsid w:val="00BF5301"/>
    <w:rsid w:val="00BF5315"/>
    <w:rsid w:val="00BF5519"/>
    <w:rsid w:val="00BF553A"/>
    <w:rsid w:val="00BF5596"/>
    <w:rsid w:val="00BF55E0"/>
    <w:rsid w:val="00BF5714"/>
    <w:rsid w:val="00BF5B64"/>
    <w:rsid w:val="00BF6047"/>
    <w:rsid w:val="00BF604F"/>
    <w:rsid w:val="00BF63E8"/>
    <w:rsid w:val="00BF6966"/>
    <w:rsid w:val="00BF6B8D"/>
    <w:rsid w:val="00BF6EEB"/>
    <w:rsid w:val="00BF7151"/>
    <w:rsid w:val="00BF72D6"/>
    <w:rsid w:val="00BF7530"/>
    <w:rsid w:val="00BF75E5"/>
    <w:rsid w:val="00BF7958"/>
    <w:rsid w:val="00C00182"/>
    <w:rsid w:val="00C005A9"/>
    <w:rsid w:val="00C005D2"/>
    <w:rsid w:val="00C005EF"/>
    <w:rsid w:val="00C006CD"/>
    <w:rsid w:val="00C00749"/>
    <w:rsid w:val="00C011D2"/>
    <w:rsid w:val="00C0140B"/>
    <w:rsid w:val="00C01446"/>
    <w:rsid w:val="00C01588"/>
    <w:rsid w:val="00C01641"/>
    <w:rsid w:val="00C01744"/>
    <w:rsid w:val="00C0196A"/>
    <w:rsid w:val="00C01BCD"/>
    <w:rsid w:val="00C021C1"/>
    <w:rsid w:val="00C02526"/>
    <w:rsid w:val="00C026E4"/>
    <w:rsid w:val="00C02A0F"/>
    <w:rsid w:val="00C02CA2"/>
    <w:rsid w:val="00C02CEC"/>
    <w:rsid w:val="00C02ED1"/>
    <w:rsid w:val="00C02F07"/>
    <w:rsid w:val="00C03136"/>
    <w:rsid w:val="00C031D0"/>
    <w:rsid w:val="00C0340E"/>
    <w:rsid w:val="00C034E7"/>
    <w:rsid w:val="00C0357C"/>
    <w:rsid w:val="00C03BD7"/>
    <w:rsid w:val="00C03FDA"/>
    <w:rsid w:val="00C045CE"/>
    <w:rsid w:val="00C045D4"/>
    <w:rsid w:val="00C04657"/>
    <w:rsid w:val="00C0476B"/>
    <w:rsid w:val="00C048D4"/>
    <w:rsid w:val="00C04D49"/>
    <w:rsid w:val="00C04F59"/>
    <w:rsid w:val="00C04F81"/>
    <w:rsid w:val="00C051A8"/>
    <w:rsid w:val="00C05711"/>
    <w:rsid w:val="00C05C94"/>
    <w:rsid w:val="00C05D11"/>
    <w:rsid w:val="00C05FD8"/>
    <w:rsid w:val="00C061DE"/>
    <w:rsid w:val="00C06209"/>
    <w:rsid w:val="00C0668C"/>
    <w:rsid w:val="00C066A5"/>
    <w:rsid w:val="00C06823"/>
    <w:rsid w:val="00C06952"/>
    <w:rsid w:val="00C070FA"/>
    <w:rsid w:val="00C077B0"/>
    <w:rsid w:val="00C07888"/>
    <w:rsid w:val="00C07CB4"/>
    <w:rsid w:val="00C07DF1"/>
    <w:rsid w:val="00C10380"/>
    <w:rsid w:val="00C105DF"/>
    <w:rsid w:val="00C10827"/>
    <w:rsid w:val="00C10CF5"/>
    <w:rsid w:val="00C10E08"/>
    <w:rsid w:val="00C10FDA"/>
    <w:rsid w:val="00C1120F"/>
    <w:rsid w:val="00C11687"/>
    <w:rsid w:val="00C11A80"/>
    <w:rsid w:val="00C11B1F"/>
    <w:rsid w:val="00C11CBC"/>
    <w:rsid w:val="00C12044"/>
    <w:rsid w:val="00C1212A"/>
    <w:rsid w:val="00C1242F"/>
    <w:rsid w:val="00C1266A"/>
    <w:rsid w:val="00C12726"/>
    <w:rsid w:val="00C1290D"/>
    <w:rsid w:val="00C1294A"/>
    <w:rsid w:val="00C12958"/>
    <w:rsid w:val="00C12ADF"/>
    <w:rsid w:val="00C12BB6"/>
    <w:rsid w:val="00C12C8F"/>
    <w:rsid w:val="00C12F3B"/>
    <w:rsid w:val="00C12F63"/>
    <w:rsid w:val="00C136FF"/>
    <w:rsid w:val="00C139DE"/>
    <w:rsid w:val="00C13A4F"/>
    <w:rsid w:val="00C13F3E"/>
    <w:rsid w:val="00C14567"/>
    <w:rsid w:val="00C146E5"/>
    <w:rsid w:val="00C14960"/>
    <w:rsid w:val="00C14B48"/>
    <w:rsid w:val="00C14BF8"/>
    <w:rsid w:val="00C14CD2"/>
    <w:rsid w:val="00C14D9E"/>
    <w:rsid w:val="00C14F90"/>
    <w:rsid w:val="00C150A7"/>
    <w:rsid w:val="00C1527A"/>
    <w:rsid w:val="00C153B8"/>
    <w:rsid w:val="00C156B8"/>
    <w:rsid w:val="00C1581E"/>
    <w:rsid w:val="00C15899"/>
    <w:rsid w:val="00C15C12"/>
    <w:rsid w:val="00C15C5C"/>
    <w:rsid w:val="00C15CC5"/>
    <w:rsid w:val="00C15E36"/>
    <w:rsid w:val="00C15E54"/>
    <w:rsid w:val="00C15F22"/>
    <w:rsid w:val="00C1645A"/>
    <w:rsid w:val="00C164EB"/>
    <w:rsid w:val="00C1696C"/>
    <w:rsid w:val="00C169B5"/>
    <w:rsid w:val="00C16B0A"/>
    <w:rsid w:val="00C16E71"/>
    <w:rsid w:val="00C17116"/>
    <w:rsid w:val="00C1713E"/>
    <w:rsid w:val="00C17640"/>
    <w:rsid w:val="00C17ADB"/>
    <w:rsid w:val="00C2029A"/>
    <w:rsid w:val="00C202A2"/>
    <w:rsid w:val="00C20829"/>
    <w:rsid w:val="00C21206"/>
    <w:rsid w:val="00C217AA"/>
    <w:rsid w:val="00C21A53"/>
    <w:rsid w:val="00C21E3F"/>
    <w:rsid w:val="00C21EED"/>
    <w:rsid w:val="00C222AF"/>
    <w:rsid w:val="00C223CB"/>
    <w:rsid w:val="00C223E5"/>
    <w:rsid w:val="00C2253A"/>
    <w:rsid w:val="00C2257E"/>
    <w:rsid w:val="00C226CD"/>
    <w:rsid w:val="00C22B67"/>
    <w:rsid w:val="00C22F4C"/>
    <w:rsid w:val="00C22FB9"/>
    <w:rsid w:val="00C23289"/>
    <w:rsid w:val="00C23482"/>
    <w:rsid w:val="00C2396B"/>
    <w:rsid w:val="00C239A9"/>
    <w:rsid w:val="00C23AA9"/>
    <w:rsid w:val="00C23E13"/>
    <w:rsid w:val="00C249F9"/>
    <w:rsid w:val="00C24A51"/>
    <w:rsid w:val="00C24B63"/>
    <w:rsid w:val="00C24E17"/>
    <w:rsid w:val="00C24E44"/>
    <w:rsid w:val="00C25011"/>
    <w:rsid w:val="00C2555D"/>
    <w:rsid w:val="00C2566C"/>
    <w:rsid w:val="00C25EB3"/>
    <w:rsid w:val="00C25F1A"/>
    <w:rsid w:val="00C2621E"/>
    <w:rsid w:val="00C26502"/>
    <w:rsid w:val="00C267AA"/>
    <w:rsid w:val="00C268B7"/>
    <w:rsid w:val="00C269F4"/>
    <w:rsid w:val="00C26AFE"/>
    <w:rsid w:val="00C26D5A"/>
    <w:rsid w:val="00C26DB0"/>
    <w:rsid w:val="00C26E91"/>
    <w:rsid w:val="00C2784A"/>
    <w:rsid w:val="00C2792D"/>
    <w:rsid w:val="00C279DD"/>
    <w:rsid w:val="00C27D95"/>
    <w:rsid w:val="00C301C5"/>
    <w:rsid w:val="00C302CE"/>
    <w:rsid w:val="00C303AA"/>
    <w:rsid w:val="00C30588"/>
    <w:rsid w:val="00C305EB"/>
    <w:rsid w:val="00C3063E"/>
    <w:rsid w:val="00C30665"/>
    <w:rsid w:val="00C30ECB"/>
    <w:rsid w:val="00C31290"/>
    <w:rsid w:val="00C31407"/>
    <w:rsid w:val="00C317D0"/>
    <w:rsid w:val="00C319E0"/>
    <w:rsid w:val="00C31B86"/>
    <w:rsid w:val="00C31CBD"/>
    <w:rsid w:val="00C31D3F"/>
    <w:rsid w:val="00C3214B"/>
    <w:rsid w:val="00C32523"/>
    <w:rsid w:val="00C32647"/>
    <w:rsid w:val="00C32DE8"/>
    <w:rsid w:val="00C32DF3"/>
    <w:rsid w:val="00C32E52"/>
    <w:rsid w:val="00C3301C"/>
    <w:rsid w:val="00C333A3"/>
    <w:rsid w:val="00C33585"/>
    <w:rsid w:val="00C338B6"/>
    <w:rsid w:val="00C338CF"/>
    <w:rsid w:val="00C33909"/>
    <w:rsid w:val="00C33EAD"/>
    <w:rsid w:val="00C3403A"/>
    <w:rsid w:val="00C3477E"/>
    <w:rsid w:val="00C35045"/>
    <w:rsid w:val="00C35118"/>
    <w:rsid w:val="00C354D5"/>
    <w:rsid w:val="00C354FB"/>
    <w:rsid w:val="00C356E7"/>
    <w:rsid w:val="00C359F8"/>
    <w:rsid w:val="00C35A2B"/>
    <w:rsid w:val="00C35A38"/>
    <w:rsid w:val="00C35C96"/>
    <w:rsid w:val="00C35ED8"/>
    <w:rsid w:val="00C36018"/>
    <w:rsid w:val="00C3603F"/>
    <w:rsid w:val="00C360A3"/>
    <w:rsid w:val="00C361D4"/>
    <w:rsid w:val="00C3638E"/>
    <w:rsid w:val="00C36610"/>
    <w:rsid w:val="00C3661E"/>
    <w:rsid w:val="00C3677B"/>
    <w:rsid w:val="00C36DB4"/>
    <w:rsid w:val="00C36E36"/>
    <w:rsid w:val="00C3713E"/>
    <w:rsid w:val="00C3737E"/>
    <w:rsid w:val="00C374CA"/>
    <w:rsid w:val="00C37720"/>
    <w:rsid w:val="00C37789"/>
    <w:rsid w:val="00C378B4"/>
    <w:rsid w:val="00C378FD"/>
    <w:rsid w:val="00C37EDD"/>
    <w:rsid w:val="00C40037"/>
    <w:rsid w:val="00C40314"/>
    <w:rsid w:val="00C403EE"/>
    <w:rsid w:val="00C40850"/>
    <w:rsid w:val="00C40A68"/>
    <w:rsid w:val="00C40D7D"/>
    <w:rsid w:val="00C40E83"/>
    <w:rsid w:val="00C40F18"/>
    <w:rsid w:val="00C41224"/>
    <w:rsid w:val="00C41667"/>
    <w:rsid w:val="00C41779"/>
    <w:rsid w:val="00C41A3F"/>
    <w:rsid w:val="00C41C3D"/>
    <w:rsid w:val="00C41D6F"/>
    <w:rsid w:val="00C41FF4"/>
    <w:rsid w:val="00C426FE"/>
    <w:rsid w:val="00C4294D"/>
    <w:rsid w:val="00C42A13"/>
    <w:rsid w:val="00C42A1A"/>
    <w:rsid w:val="00C42B34"/>
    <w:rsid w:val="00C42EC2"/>
    <w:rsid w:val="00C43076"/>
    <w:rsid w:val="00C43258"/>
    <w:rsid w:val="00C43437"/>
    <w:rsid w:val="00C4362A"/>
    <w:rsid w:val="00C4362F"/>
    <w:rsid w:val="00C43631"/>
    <w:rsid w:val="00C437B1"/>
    <w:rsid w:val="00C43A7A"/>
    <w:rsid w:val="00C43AF1"/>
    <w:rsid w:val="00C43D40"/>
    <w:rsid w:val="00C442EE"/>
    <w:rsid w:val="00C44413"/>
    <w:rsid w:val="00C444CA"/>
    <w:rsid w:val="00C446D4"/>
    <w:rsid w:val="00C44891"/>
    <w:rsid w:val="00C449B5"/>
    <w:rsid w:val="00C44A5A"/>
    <w:rsid w:val="00C450A9"/>
    <w:rsid w:val="00C450AB"/>
    <w:rsid w:val="00C4560B"/>
    <w:rsid w:val="00C456A4"/>
    <w:rsid w:val="00C45B75"/>
    <w:rsid w:val="00C45C5F"/>
    <w:rsid w:val="00C46042"/>
    <w:rsid w:val="00C46064"/>
    <w:rsid w:val="00C462F8"/>
    <w:rsid w:val="00C46677"/>
    <w:rsid w:val="00C466AF"/>
    <w:rsid w:val="00C466EB"/>
    <w:rsid w:val="00C4672E"/>
    <w:rsid w:val="00C469C7"/>
    <w:rsid w:val="00C46A65"/>
    <w:rsid w:val="00C46A67"/>
    <w:rsid w:val="00C46BCB"/>
    <w:rsid w:val="00C46BF5"/>
    <w:rsid w:val="00C46C11"/>
    <w:rsid w:val="00C46E87"/>
    <w:rsid w:val="00C47055"/>
    <w:rsid w:val="00C470BC"/>
    <w:rsid w:val="00C47196"/>
    <w:rsid w:val="00C4758B"/>
    <w:rsid w:val="00C475FE"/>
    <w:rsid w:val="00C478F0"/>
    <w:rsid w:val="00C47B51"/>
    <w:rsid w:val="00C47CBE"/>
    <w:rsid w:val="00C50141"/>
    <w:rsid w:val="00C50227"/>
    <w:rsid w:val="00C5037B"/>
    <w:rsid w:val="00C503A7"/>
    <w:rsid w:val="00C5049C"/>
    <w:rsid w:val="00C50507"/>
    <w:rsid w:val="00C50690"/>
    <w:rsid w:val="00C50AF0"/>
    <w:rsid w:val="00C50C95"/>
    <w:rsid w:val="00C50CF7"/>
    <w:rsid w:val="00C50E56"/>
    <w:rsid w:val="00C5135D"/>
    <w:rsid w:val="00C51690"/>
    <w:rsid w:val="00C51A23"/>
    <w:rsid w:val="00C51BB8"/>
    <w:rsid w:val="00C51DC6"/>
    <w:rsid w:val="00C51F38"/>
    <w:rsid w:val="00C52077"/>
    <w:rsid w:val="00C52537"/>
    <w:rsid w:val="00C527C0"/>
    <w:rsid w:val="00C527F0"/>
    <w:rsid w:val="00C527FF"/>
    <w:rsid w:val="00C5283B"/>
    <w:rsid w:val="00C528CF"/>
    <w:rsid w:val="00C531F0"/>
    <w:rsid w:val="00C53406"/>
    <w:rsid w:val="00C53518"/>
    <w:rsid w:val="00C5372E"/>
    <w:rsid w:val="00C53B90"/>
    <w:rsid w:val="00C53B97"/>
    <w:rsid w:val="00C53BA3"/>
    <w:rsid w:val="00C53CF9"/>
    <w:rsid w:val="00C53D63"/>
    <w:rsid w:val="00C5443D"/>
    <w:rsid w:val="00C544EF"/>
    <w:rsid w:val="00C54520"/>
    <w:rsid w:val="00C54AC4"/>
    <w:rsid w:val="00C54B5D"/>
    <w:rsid w:val="00C55131"/>
    <w:rsid w:val="00C551CB"/>
    <w:rsid w:val="00C552B1"/>
    <w:rsid w:val="00C552C8"/>
    <w:rsid w:val="00C55324"/>
    <w:rsid w:val="00C557B7"/>
    <w:rsid w:val="00C55864"/>
    <w:rsid w:val="00C55B40"/>
    <w:rsid w:val="00C55EC8"/>
    <w:rsid w:val="00C55EFA"/>
    <w:rsid w:val="00C56351"/>
    <w:rsid w:val="00C563EC"/>
    <w:rsid w:val="00C564A3"/>
    <w:rsid w:val="00C565A4"/>
    <w:rsid w:val="00C5690C"/>
    <w:rsid w:val="00C56AFF"/>
    <w:rsid w:val="00C56F42"/>
    <w:rsid w:val="00C571A5"/>
    <w:rsid w:val="00C571C1"/>
    <w:rsid w:val="00C5737E"/>
    <w:rsid w:val="00C57441"/>
    <w:rsid w:val="00C5757F"/>
    <w:rsid w:val="00C57EF6"/>
    <w:rsid w:val="00C57FCB"/>
    <w:rsid w:val="00C602BC"/>
    <w:rsid w:val="00C602F0"/>
    <w:rsid w:val="00C603AD"/>
    <w:rsid w:val="00C60427"/>
    <w:rsid w:val="00C605EE"/>
    <w:rsid w:val="00C607CD"/>
    <w:rsid w:val="00C609C9"/>
    <w:rsid w:val="00C61180"/>
    <w:rsid w:val="00C61325"/>
    <w:rsid w:val="00C61355"/>
    <w:rsid w:val="00C615DD"/>
    <w:rsid w:val="00C61609"/>
    <w:rsid w:val="00C616E0"/>
    <w:rsid w:val="00C6185F"/>
    <w:rsid w:val="00C6192E"/>
    <w:rsid w:val="00C619D8"/>
    <w:rsid w:val="00C61BAC"/>
    <w:rsid w:val="00C61BB7"/>
    <w:rsid w:val="00C61D62"/>
    <w:rsid w:val="00C62262"/>
    <w:rsid w:val="00C626F4"/>
    <w:rsid w:val="00C6298B"/>
    <w:rsid w:val="00C62ACE"/>
    <w:rsid w:val="00C62D3A"/>
    <w:rsid w:val="00C62F1A"/>
    <w:rsid w:val="00C62F9B"/>
    <w:rsid w:val="00C63400"/>
    <w:rsid w:val="00C635F3"/>
    <w:rsid w:val="00C63843"/>
    <w:rsid w:val="00C638FA"/>
    <w:rsid w:val="00C63A1D"/>
    <w:rsid w:val="00C63B58"/>
    <w:rsid w:val="00C63C38"/>
    <w:rsid w:val="00C63E37"/>
    <w:rsid w:val="00C63E56"/>
    <w:rsid w:val="00C643A5"/>
    <w:rsid w:val="00C645D7"/>
    <w:rsid w:val="00C6478E"/>
    <w:rsid w:val="00C6488B"/>
    <w:rsid w:val="00C649D9"/>
    <w:rsid w:val="00C64B1F"/>
    <w:rsid w:val="00C64F17"/>
    <w:rsid w:val="00C64FC3"/>
    <w:rsid w:val="00C650D6"/>
    <w:rsid w:val="00C6596A"/>
    <w:rsid w:val="00C65C41"/>
    <w:rsid w:val="00C65CDE"/>
    <w:rsid w:val="00C660B0"/>
    <w:rsid w:val="00C662EB"/>
    <w:rsid w:val="00C6654A"/>
    <w:rsid w:val="00C666D1"/>
    <w:rsid w:val="00C666F8"/>
    <w:rsid w:val="00C669E3"/>
    <w:rsid w:val="00C66B02"/>
    <w:rsid w:val="00C66E41"/>
    <w:rsid w:val="00C66F4D"/>
    <w:rsid w:val="00C678D1"/>
    <w:rsid w:val="00C67BC7"/>
    <w:rsid w:val="00C67F7F"/>
    <w:rsid w:val="00C7016D"/>
    <w:rsid w:val="00C701C6"/>
    <w:rsid w:val="00C702E4"/>
    <w:rsid w:val="00C703CC"/>
    <w:rsid w:val="00C706B0"/>
    <w:rsid w:val="00C707FF"/>
    <w:rsid w:val="00C70A04"/>
    <w:rsid w:val="00C70A8E"/>
    <w:rsid w:val="00C70AA4"/>
    <w:rsid w:val="00C70E37"/>
    <w:rsid w:val="00C70F8A"/>
    <w:rsid w:val="00C71327"/>
    <w:rsid w:val="00C71437"/>
    <w:rsid w:val="00C714B7"/>
    <w:rsid w:val="00C71531"/>
    <w:rsid w:val="00C71540"/>
    <w:rsid w:val="00C71848"/>
    <w:rsid w:val="00C71AF0"/>
    <w:rsid w:val="00C71CD6"/>
    <w:rsid w:val="00C71D6B"/>
    <w:rsid w:val="00C71E2C"/>
    <w:rsid w:val="00C71E64"/>
    <w:rsid w:val="00C7216C"/>
    <w:rsid w:val="00C722C1"/>
    <w:rsid w:val="00C7233C"/>
    <w:rsid w:val="00C7233E"/>
    <w:rsid w:val="00C72464"/>
    <w:rsid w:val="00C72718"/>
    <w:rsid w:val="00C72786"/>
    <w:rsid w:val="00C72834"/>
    <w:rsid w:val="00C728BB"/>
    <w:rsid w:val="00C72A62"/>
    <w:rsid w:val="00C72C07"/>
    <w:rsid w:val="00C731B2"/>
    <w:rsid w:val="00C7324D"/>
    <w:rsid w:val="00C73257"/>
    <w:rsid w:val="00C734D6"/>
    <w:rsid w:val="00C7355E"/>
    <w:rsid w:val="00C73756"/>
    <w:rsid w:val="00C739FE"/>
    <w:rsid w:val="00C73CF8"/>
    <w:rsid w:val="00C73D4E"/>
    <w:rsid w:val="00C74061"/>
    <w:rsid w:val="00C74280"/>
    <w:rsid w:val="00C74626"/>
    <w:rsid w:val="00C746FC"/>
    <w:rsid w:val="00C74D46"/>
    <w:rsid w:val="00C74E3B"/>
    <w:rsid w:val="00C74EDF"/>
    <w:rsid w:val="00C74FC0"/>
    <w:rsid w:val="00C7500D"/>
    <w:rsid w:val="00C75122"/>
    <w:rsid w:val="00C7524C"/>
    <w:rsid w:val="00C752E7"/>
    <w:rsid w:val="00C754A6"/>
    <w:rsid w:val="00C75634"/>
    <w:rsid w:val="00C759CB"/>
    <w:rsid w:val="00C75A23"/>
    <w:rsid w:val="00C761B1"/>
    <w:rsid w:val="00C76550"/>
    <w:rsid w:val="00C76686"/>
    <w:rsid w:val="00C76900"/>
    <w:rsid w:val="00C7698F"/>
    <w:rsid w:val="00C76A3B"/>
    <w:rsid w:val="00C7723A"/>
    <w:rsid w:val="00C772D1"/>
    <w:rsid w:val="00C774AE"/>
    <w:rsid w:val="00C77860"/>
    <w:rsid w:val="00C7797A"/>
    <w:rsid w:val="00C77BA6"/>
    <w:rsid w:val="00C77D6D"/>
    <w:rsid w:val="00C77FB6"/>
    <w:rsid w:val="00C8010F"/>
    <w:rsid w:val="00C802BF"/>
    <w:rsid w:val="00C80601"/>
    <w:rsid w:val="00C8064F"/>
    <w:rsid w:val="00C80A9F"/>
    <w:rsid w:val="00C81098"/>
    <w:rsid w:val="00C810BD"/>
    <w:rsid w:val="00C81159"/>
    <w:rsid w:val="00C8121C"/>
    <w:rsid w:val="00C81309"/>
    <w:rsid w:val="00C81351"/>
    <w:rsid w:val="00C81712"/>
    <w:rsid w:val="00C81CBD"/>
    <w:rsid w:val="00C82339"/>
    <w:rsid w:val="00C82412"/>
    <w:rsid w:val="00C82519"/>
    <w:rsid w:val="00C8252E"/>
    <w:rsid w:val="00C8272E"/>
    <w:rsid w:val="00C8276E"/>
    <w:rsid w:val="00C82B38"/>
    <w:rsid w:val="00C82FF9"/>
    <w:rsid w:val="00C83306"/>
    <w:rsid w:val="00C83355"/>
    <w:rsid w:val="00C83666"/>
    <w:rsid w:val="00C83684"/>
    <w:rsid w:val="00C83783"/>
    <w:rsid w:val="00C83E1D"/>
    <w:rsid w:val="00C841BA"/>
    <w:rsid w:val="00C8464E"/>
    <w:rsid w:val="00C84897"/>
    <w:rsid w:val="00C84A1D"/>
    <w:rsid w:val="00C84AAE"/>
    <w:rsid w:val="00C84EFF"/>
    <w:rsid w:val="00C851DC"/>
    <w:rsid w:val="00C854DB"/>
    <w:rsid w:val="00C85662"/>
    <w:rsid w:val="00C85C3B"/>
    <w:rsid w:val="00C85D4C"/>
    <w:rsid w:val="00C8686A"/>
    <w:rsid w:val="00C868E0"/>
    <w:rsid w:val="00C86B44"/>
    <w:rsid w:val="00C86BC5"/>
    <w:rsid w:val="00C86C64"/>
    <w:rsid w:val="00C86CBA"/>
    <w:rsid w:val="00C86D8E"/>
    <w:rsid w:val="00C870B1"/>
    <w:rsid w:val="00C87210"/>
    <w:rsid w:val="00C8748D"/>
    <w:rsid w:val="00C87660"/>
    <w:rsid w:val="00C9008F"/>
    <w:rsid w:val="00C90138"/>
    <w:rsid w:val="00C9062E"/>
    <w:rsid w:val="00C90814"/>
    <w:rsid w:val="00C909DC"/>
    <w:rsid w:val="00C90A0F"/>
    <w:rsid w:val="00C90ABB"/>
    <w:rsid w:val="00C90B71"/>
    <w:rsid w:val="00C90C97"/>
    <w:rsid w:val="00C91364"/>
    <w:rsid w:val="00C91585"/>
    <w:rsid w:val="00C915E8"/>
    <w:rsid w:val="00C91824"/>
    <w:rsid w:val="00C918A4"/>
    <w:rsid w:val="00C9195C"/>
    <w:rsid w:val="00C91CB8"/>
    <w:rsid w:val="00C91DDE"/>
    <w:rsid w:val="00C927F6"/>
    <w:rsid w:val="00C928C7"/>
    <w:rsid w:val="00C92908"/>
    <w:rsid w:val="00C92CCF"/>
    <w:rsid w:val="00C92CFE"/>
    <w:rsid w:val="00C92E90"/>
    <w:rsid w:val="00C92EE8"/>
    <w:rsid w:val="00C93206"/>
    <w:rsid w:val="00C93888"/>
    <w:rsid w:val="00C93A62"/>
    <w:rsid w:val="00C93BDE"/>
    <w:rsid w:val="00C93C66"/>
    <w:rsid w:val="00C93D44"/>
    <w:rsid w:val="00C944AF"/>
    <w:rsid w:val="00C9456D"/>
    <w:rsid w:val="00C9494C"/>
    <w:rsid w:val="00C94B93"/>
    <w:rsid w:val="00C94C01"/>
    <w:rsid w:val="00C9527F"/>
    <w:rsid w:val="00C95698"/>
    <w:rsid w:val="00C95824"/>
    <w:rsid w:val="00C9595A"/>
    <w:rsid w:val="00C9595E"/>
    <w:rsid w:val="00C95B60"/>
    <w:rsid w:val="00C95DC3"/>
    <w:rsid w:val="00C95EE9"/>
    <w:rsid w:val="00C96576"/>
    <w:rsid w:val="00C96752"/>
    <w:rsid w:val="00C967C7"/>
    <w:rsid w:val="00C967E8"/>
    <w:rsid w:val="00C9698D"/>
    <w:rsid w:val="00C96BE7"/>
    <w:rsid w:val="00C96C31"/>
    <w:rsid w:val="00C96E78"/>
    <w:rsid w:val="00C974C6"/>
    <w:rsid w:val="00C975EC"/>
    <w:rsid w:val="00C9773F"/>
    <w:rsid w:val="00C977DE"/>
    <w:rsid w:val="00C97DD3"/>
    <w:rsid w:val="00CA064B"/>
    <w:rsid w:val="00CA0EC6"/>
    <w:rsid w:val="00CA1110"/>
    <w:rsid w:val="00CA1346"/>
    <w:rsid w:val="00CA1615"/>
    <w:rsid w:val="00CA1839"/>
    <w:rsid w:val="00CA1912"/>
    <w:rsid w:val="00CA1A04"/>
    <w:rsid w:val="00CA1F3D"/>
    <w:rsid w:val="00CA1FC0"/>
    <w:rsid w:val="00CA1FDE"/>
    <w:rsid w:val="00CA21CC"/>
    <w:rsid w:val="00CA2293"/>
    <w:rsid w:val="00CA22FD"/>
    <w:rsid w:val="00CA26F9"/>
    <w:rsid w:val="00CA2A51"/>
    <w:rsid w:val="00CA2C86"/>
    <w:rsid w:val="00CA2C91"/>
    <w:rsid w:val="00CA2E4D"/>
    <w:rsid w:val="00CA2E75"/>
    <w:rsid w:val="00CA2F1A"/>
    <w:rsid w:val="00CA2F1D"/>
    <w:rsid w:val="00CA2F76"/>
    <w:rsid w:val="00CA2FC5"/>
    <w:rsid w:val="00CA3592"/>
    <w:rsid w:val="00CA385F"/>
    <w:rsid w:val="00CA3903"/>
    <w:rsid w:val="00CA396E"/>
    <w:rsid w:val="00CA3B56"/>
    <w:rsid w:val="00CA3CF5"/>
    <w:rsid w:val="00CA3F27"/>
    <w:rsid w:val="00CA4361"/>
    <w:rsid w:val="00CA45DB"/>
    <w:rsid w:val="00CA4765"/>
    <w:rsid w:val="00CA4B8F"/>
    <w:rsid w:val="00CA4D13"/>
    <w:rsid w:val="00CA51B6"/>
    <w:rsid w:val="00CA5390"/>
    <w:rsid w:val="00CA53F3"/>
    <w:rsid w:val="00CA5666"/>
    <w:rsid w:val="00CA5896"/>
    <w:rsid w:val="00CA5BEE"/>
    <w:rsid w:val="00CA5D55"/>
    <w:rsid w:val="00CA5D5B"/>
    <w:rsid w:val="00CA5E5C"/>
    <w:rsid w:val="00CA5EB6"/>
    <w:rsid w:val="00CA5EFD"/>
    <w:rsid w:val="00CA5FB8"/>
    <w:rsid w:val="00CA603B"/>
    <w:rsid w:val="00CA60A3"/>
    <w:rsid w:val="00CA6108"/>
    <w:rsid w:val="00CA62B7"/>
    <w:rsid w:val="00CA62D8"/>
    <w:rsid w:val="00CA62E8"/>
    <w:rsid w:val="00CA64A2"/>
    <w:rsid w:val="00CA69C9"/>
    <w:rsid w:val="00CA6AE4"/>
    <w:rsid w:val="00CA6E87"/>
    <w:rsid w:val="00CA6E8D"/>
    <w:rsid w:val="00CA731A"/>
    <w:rsid w:val="00CA7972"/>
    <w:rsid w:val="00CA7F9A"/>
    <w:rsid w:val="00CB0016"/>
    <w:rsid w:val="00CB0554"/>
    <w:rsid w:val="00CB0C6F"/>
    <w:rsid w:val="00CB0D2F"/>
    <w:rsid w:val="00CB0E37"/>
    <w:rsid w:val="00CB0F5E"/>
    <w:rsid w:val="00CB0FDC"/>
    <w:rsid w:val="00CB102D"/>
    <w:rsid w:val="00CB12D6"/>
    <w:rsid w:val="00CB1B17"/>
    <w:rsid w:val="00CB1C48"/>
    <w:rsid w:val="00CB20D5"/>
    <w:rsid w:val="00CB2187"/>
    <w:rsid w:val="00CB2230"/>
    <w:rsid w:val="00CB22E0"/>
    <w:rsid w:val="00CB236C"/>
    <w:rsid w:val="00CB262E"/>
    <w:rsid w:val="00CB263B"/>
    <w:rsid w:val="00CB28E5"/>
    <w:rsid w:val="00CB2A96"/>
    <w:rsid w:val="00CB2AAB"/>
    <w:rsid w:val="00CB35B1"/>
    <w:rsid w:val="00CB3869"/>
    <w:rsid w:val="00CB3DD3"/>
    <w:rsid w:val="00CB3EC2"/>
    <w:rsid w:val="00CB3FEE"/>
    <w:rsid w:val="00CB4BD4"/>
    <w:rsid w:val="00CB4C4B"/>
    <w:rsid w:val="00CB4F52"/>
    <w:rsid w:val="00CB516E"/>
    <w:rsid w:val="00CB5439"/>
    <w:rsid w:val="00CB545A"/>
    <w:rsid w:val="00CB55BA"/>
    <w:rsid w:val="00CB55C1"/>
    <w:rsid w:val="00CB5617"/>
    <w:rsid w:val="00CB5664"/>
    <w:rsid w:val="00CB574E"/>
    <w:rsid w:val="00CB59CF"/>
    <w:rsid w:val="00CB5D99"/>
    <w:rsid w:val="00CB5E52"/>
    <w:rsid w:val="00CB61D1"/>
    <w:rsid w:val="00CB651D"/>
    <w:rsid w:val="00CB6780"/>
    <w:rsid w:val="00CB67C9"/>
    <w:rsid w:val="00CB6929"/>
    <w:rsid w:val="00CB6A51"/>
    <w:rsid w:val="00CB6DC8"/>
    <w:rsid w:val="00CB72B7"/>
    <w:rsid w:val="00CB7338"/>
    <w:rsid w:val="00CB7401"/>
    <w:rsid w:val="00CB773C"/>
    <w:rsid w:val="00CB7B77"/>
    <w:rsid w:val="00CB7BDF"/>
    <w:rsid w:val="00CB7CA2"/>
    <w:rsid w:val="00CB7D53"/>
    <w:rsid w:val="00CB7E38"/>
    <w:rsid w:val="00CC00A3"/>
    <w:rsid w:val="00CC03A2"/>
    <w:rsid w:val="00CC078E"/>
    <w:rsid w:val="00CC0960"/>
    <w:rsid w:val="00CC0994"/>
    <w:rsid w:val="00CC0A2B"/>
    <w:rsid w:val="00CC0C35"/>
    <w:rsid w:val="00CC0E4D"/>
    <w:rsid w:val="00CC0E91"/>
    <w:rsid w:val="00CC0FA9"/>
    <w:rsid w:val="00CC12AD"/>
    <w:rsid w:val="00CC1597"/>
    <w:rsid w:val="00CC193D"/>
    <w:rsid w:val="00CC1AF3"/>
    <w:rsid w:val="00CC1CA0"/>
    <w:rsid w:val="00CC1EDB"/>
    <w:rsid w:val="00CC2156"/>
    <w:rsid w:val="00CC2376"/>
    <w:rsid w:val="00CC23C6"/>
    <w:rsid w:val="00CC26D9"/>
    <w:rsid w:val="00CC279A"/>
    <w:rsid w:val="00CC2875"/>
    <w:rsid w:val="00CC28A0"/>
    <w:rsid w:val="00CC28A6"/>
    <w:rsid w:val="00CC28CB"/>
    <w:rsid w:val="00CC2910"/>
    <w:rsid w:val="00CC2AAF"/>
    <w:rsid w:val="00CC2B97"/>
    <w:rsid w:val="00CC2C54"/>
    <w:rsid w:val="00CC2D3A"/>
    <w:rsid w:val="00CC2D88"/>
    <w:rsid w:val="00CC2FC1"/>
    <w:rsid w:val="00CC34EE"/>
    <w:rsid w:val="00CC36A2"/>
    <w:rsid w:val="00CC36CE"/>
    <w:rsid w:val="00CC389A"/>
    <w:rsid w:val="00CC38D7"/>
    <w:rsid w:val="00CC3922"/>
    <w:rsid w:val="00CC3C7A"/>
    <w:rsid w:val="00CC3CBB"/>
    <w:rsid w:val="00CC3D92"/>
    <w:rsid w:val="00CC3FA8"/>
    <w:rsid w:val="00CC43C2"/>
    <w:rsid w:val="00CC44C9"/>
    <w:rsid w:val="00CC4722"/>
    <w:rsid w:val="00CC4B4D"/>
    <w:rsid w:val="00CC4B52"/>
    <w:rsid w:val="00CC4EF6"/>
    <w:rsid w:val="00CC4F40"/>
    <w:rsid w:val="00CC4F9E"/>
    <w:rsid w:val="00CC50D3"/>
    <w:rsid w:val="00CC5108"/>
    <w:rsid w:val="00CC5E8D"/>
    <w:rsid w:val="00CC6308"/>
    <w:rsid w:val="00CC64E8"/>
    <w:rsid w:val="00CC670C"/>
    <w:rsid w:val="00CC6756"/>
    <w:rsid w:val="00CC67CF"/>
    <w:rsid w:val="00CC6AEE"/>
    <w:rsid w:val="00CC6D85"/>
    <w:rsid w:val="00CC6E1E"/>
    <w:rsid w:val="00CC6F84"/>
    <w:rsid w:val="00CC7058"/>
    <w:rsid w:val="00CC7EF3"/>
    <w:rsid w:val="00CD0488"/>
    <w:rsid w:val="00CD0561"/>
    <w:rsid w:val="00CD0A68"/>
    <w:rsid w:val="00CD0D21"/>
    <w:rsid w:val="00CD10D4"/>
    <w:rsid w:val="00CD117F"/>
    <w:rsid w:val="00CD11A5"/>
    <w:rsid w:val="00CD1384"/>
    <w:rsid w:val="00CD1731"/>
    <w:rsid w:val="00CD2191"/>
    <w:rsid w:val="00CD236C"/>
    <w:rsid w:val="00CD24BF"/>
    <w:rsid w:val="00CD2A72"/>
    <w:rsid w:val="00CD2AF9"/>
    <w:rsid w:val="00CD2C53"/>
    <w:rsid w:val="00CD32D4"/>
    <w:rsid w:val="00CD33C7"/>
    <w:rsid w:val="00CD3A12"/>
    <w:rsid w:val="00CD3AB3"/>
    <w:rsid w:val="00CD3BA0"/>
    <w:rsid w:val="00CD3C12"/>
    <w:rsid w:val="00CD3EF8"/>
    <w:rsid w:val="00CD3FD3"/>
    <w:rsid w:val="00CD40B0"/>
    <w:rsid w:val="00CD4265"/>
    <w:rsid w:val="00CD45AF"/>
    <w:rsid w:val="00CD460E"/>
    <w:rsid w:val="00CD462F"/>
    <w:rsid w:val="00CD49A6"/>
    <w:rsid w:val="00CD4AC7"/>
    <w:rsid w:val="00CD4C69"/>
    <w:rsid w:val="00CD4E04"/>
    <w:rsid w:val="00CD4FDB"/>
    <w:rsid w:val="00CD5143"/>
    <w:rsid w:val="00CD51B0"/>
    <w:rsid w:val="00CD53BC"/>
    <w:rsid w:val="00CD5898"/>
    <w:rsid w:val="00CD5928"/>
    <w:rsid w:val="00CD5C7D"/>
    <w:rsid w:val="00CD5F01"/>
    <w:rsid w:val="00CD62CF"/>
    <w:rsid w:val="00CD6584"/>
    <w:rsid w:val="00CD661A"/>
    <w:rsid w:val="00CD6C38"/>
    <w:rsid w:val="00CD74B3"/>
    <w:rsid w:val="00CD7695"/>
    <w:rsid w:val="00CD774D"/>
    <w:rsid w:val="00CD78D9"/>
    <w:rsid w:val="00CD7A5A"/>
    <w:rsid w:val="00CD7B13"/>
    <w:rsid w:val="00CD7C40"/>
    <w:rsid w:val="00CD7CCF"/>
    <w:rsid w:val="00CD7EF9"/>
    <w:rsid w:val="00CE050E"/>
    <w:rsid w:val="00CE05D9"/>
    <w:rsid w:val="00CE0787"/>
    <w:rsid w:val="00CE09C0"/>
    <w:rsid w:val="00CE1079"/>
    <w:rsid w:val="00CE11C9"/>
    <w:rsid w:val="00CE120D"/>
    <w:rsid w:val="00CE144C"/>
    <w:rsid w:val="00CE1928"/>
    <w:rsid w:val="00CE19B3"/>
    <w:rsid w:val="00CE1AAB"/>
    <w:rsid w:val="00CE1CEA"/>
    <w:rsid w:val="00CE1F6B"/>
    <w:rsid w:val="00CE2202"/>
    <w:rsid w:val="00CE228A"/>
    <w:rsid w:val="00CE25DB"/>
    <w:rsid w:val="00CE26F4"/>
    <w:rsid w:val="00CE2B45"/>
    <w:rsid w:val="00CE2B63"/>
    <w:rsid w:val="00CE300C"/>
    <w:rsid w:val="00CE30A8"/>
    <w:rsid w:val="00CE3354"/>
    <w:rsid w:val="00CE33E4"/>
    <w:rsid w:val="00CE340C"/>
    <w:rsid w:val="00CE35C4"/>
    <w:rsid w:val="00CE3881"/>
    <w:rsid w:val="00CE3902"/>
    <w:rsid w:val="00CE3A40"/>
    <w:rsid w:val="00CE3CD0"/>
    <w:rsid w:val="00CE3CED"/>
    <w:rsid w:val="00CE3D6F"/>
    <w:rsid w:val="00CE3DDD"/>
    <w:rsid w:val="00CE3ED4"/>
    <w:rsid w:val="00CE3F2F"/>
    <w:rsid w:val="00CE4281"/>
    <w:rsid w:val="00CE4295"/>
    <w:rsid w:val="00CE42D1"/>
    <w:rsid w:val="00CE4414"/>
    <w:rsid w:val="00CE4543"/>
    <w:rsid w:val="00CE4954"/>
    <w:rsid w:val="00CE4CAA"/>
    <w:rsid w:val="00CE4E0C"/>
    <w:rsid w:val="00CE502A"/>
    <w:rsid w:val="00CE51C8"/>
    <w:rsid w:val="00CE5224"/>
    <w:rsid w:val="00CE591A"/>
    <w:rsid w:val="00CE59AE"/>
    <w:rsid w:val="00CE5ACB"/>
    <w:rsid w:val="00CE5D1D"/>
    <w:rsid w:val="00CE5EC1"/>
    <w:rsid w:val="00CE5F85"/>
    <w:rsid w:val="00CE610C"/>
    <w:rsid w:val="00CE6123"/>
    <w:rsid w:val="00CE61F8"/>
    <w:rsid w:val="00CE632A"/>
    <w:rsid w:val="00CE6407"/>
    <w:rsid w:val="00CE64C3"/>
    <w:rsid w:val="00CE6699"/>
    <w:rsid w:val="00CE66C2"/>
    <w:rsid w:val="00CE681D"/>
    <w:rsid w:val="00CE685E"/>
    <w:rsid w:val="00CE6A18"/>
    <w:rsid w:val="00CE6EEE"/>
    <w:rsid w:val="00CE6FDD"/>
    <w:rsid w:val="00CE77F4"/>
    <w:rsid w:val="00CE79B7"/>
    <w:rsid w:val="00CE7A52"/>
    <w:rsid w:val="00CE7C19"/>
    <w:rsid w:val="00CE7D12"/>
    <w:rsid w:val="00CE7E96"/>
    <w:rsid w:val="00CF0203"/>
    <w:rsid w:val="00CF0319"/>
    <w:rsid w:val="00CF0687"/>
    <w:rsid w:val="00CF09A1"/>
    <w:rsid w:val="00CF0AAB"/>
    <w:rsid w:val="00CF100A"/>
    <w:rsid w:val="00CF1055"/>
    <w:rsid w:val="00CF138A"/>
    <w:rsid w:val="00CF13A2"/>
    <w:rsid w:val="00CF14A7"/>
    <w:rsid w:val="00CF1AD5"/>
    <w:rsid w:val="00CF1B72"/>
    <w:rsid w:val="00CF1EC4"/>
    <w:rsid w:val="00CF22BA"/>
    <w:rsid w:val="00CF23D0"/>
    <w:rsid w:val="00CF26CC"/>
    <w:rsid w:val="00CF2A08"/>
    <w:rsid w:val="00CF2A1A"/>
    <w:rsid w:val="00CF2AE0"/>
    <w:rsid w:val="00CF2D66"/>
    <w:rsid w:val="00CF2DB6"/>
    <w:rsid w:val="00CF2DDF"/>
    <w:rsid w:val="00CF2F47"/>
    <w:rsid w:val="00CF306D"/>
    <w:rsid w:val="00CF33E6"/>
    <w:rsid w:val="00CF3553"/>
    <w:rsid w:val="00CF3983"/>
    <w:rsid w:val="00CF3F3B"/>
    <w:rsid w:val="00CF4302"/>
    <w:rsid w:val="00CF4512"/>
    <w:rsid w:val="00CF4773"/>
    <w:rsid w:val="00CF4906"/>
    <w:rsid w:val="00CF4912"/>
    <w:rsid w:val="00CF4DD8"/>
    <w:rsid w:val="00CF4F7F"/>
    <w:rsid w:val="00CF505F"/>
    <w:rsid w:val="00CF5471"/>
    <w:rsid w:val="00CF56F1"/>
    <w:rsid w:val="00CF5779"/>
    <w:rsid w:val="00CF5876"/>
    <w:rsid w:val="00CF5BD1"/>
    <w:rsid w:val="00CF5DF1"/>
    <w:rsid w:val="00CF5E07"/>
    <w:rsid w:val="00CF5F70"/>
    <w:rsid w:val="00CF617A"/>
    <w:rsid w:val="00CF622E"/>
    <w:rsid w:val="00CF62D4"/>
    <w:rsid w:val="00CF6364"/>
    <w:rsid w:val="00CF658C"/>
    <w:rsid w:val="00CF65FF"/>
    <w:rsid w:val="00CF67B8"/>
    <w:rsid w:val="00CF6868"/>
    <w:rsid w:val="00CF69F3"/>
    <w:rsid w:val="00CF6A7D"/>
    <w:rsid w:val="00CF6BCF"/>
    <w:rsid w:val="00CF6CC6"/>
    <w:rsid w:val="00CF6EF5"/>
    <w:rsid w:val="00CF700C"/>
    <w:rsid w:val="00CF7421"/>
    <w:rsid w:val="00CF7539"/>
    <w:rsid w:val="00CF758C"/>
    <w:rsid w:val="00CF7AA8"/>
    <w:rsid w:val="00CF7AF2"/>
    <w:rsid w:val="00CF7C0F"/>
    <w:rsid w:val="00CF7C2D"/>
    <w:rsid w:val="00CF7FDC"/>
    <w:rsid w:val="00D003F5"/>
    <w:rsid w:val="00D0045A"/>
    <w:rsid w:val="00D00515"/>
    <w:rsid w:val="00D0087E"/>
    <w:rsid w:val="00D00DC6"/>
    <w:rsid w:val="00D00ED6"/>
    <w:rsid w:val="00D00FEE"/>
    <w:rsid w:val="00D0104B"/>
    <w:rsid w:val="00D0145F"/>
    <w:rsid w:val="00D014C7"/>
    <w:rsid w:val="00D01611"/>
    <w:rsid w:val="00D017B9"/>
    <w:rsid w:val="00D01E6D"/>
    <w:rsid w:val="00D01F92"/>
    <w:rsid w:val="00D02465"/>
    <w:rsid w:val="00D024FA"/>
    <w:rsid w:val="00D0271E"/>
    <w:rsid w:val="00D028D8"/>
    <w:rsid w:val="00D02C94"/>
    <w:rsid w:val="00D0328D"/>
    <w:rsid w:val="00D0338E"/>
    <w:rsid w:val="00D033FE"/>
    <w:rsid w:val="00D03429"/>
    <w:rsid w:val="00D034E6"/>
    <w:rsid w:val="00D037DE"/>
    <w:rsid w:val="00D03B29"/>
    <w:rsid w:val="00D03C3D"/>
    <w:rsid w:val="00D03EC2"/>
    <w:rsid w:val="00D04079"/>
    <w:rsid w:val="00D04094"/>
    <w:rsid w:val="00D04133"/>
    <w:rsid w:val="00D042F1"/>
    <w:rsid w:val="00D04383"/>
    <w:rsid w:val="00D044C4"/>
    <w:rsid w:val="00D0472A"/>
    <w:rsid w:val="00D04997"/>
    <w:rsid w:val="00D04A2B"/>
    <w:rsid w:val="00D04DFB"/>
    <w:rsid w:val="00D05002"/>
    <w:rsid w:val="00D05031"/>
    <w:rsid w:val="00D05093"/>
    <w:rsid w:val="00D0543F"/>
    <w:rsid w:val="00D055DF"/>
    <w:rsid w:val="00D05610"/>
    <w:rsid w:val="00D05722"/>
    <w:rsid w:val="00D059A9"/>
    <w:rsid w:val="00D05AA1"/>
    <w:rsid w:val="00D05BF0"/>
    <w:rsid w:val="00D05C05"/>
    <w:rsid w:val="00D05DE0"/>
    <w:rsid w:val="00D06067"/>
    <w:rsid w:val="00D060ED"/>
    <w:rsid w:val="00D06197"/>
    <w:rsid w:val="00D0620C"/>
    <w:rsid w:val="00D06325"/>
    <w:rsid w:val="00D06640"/>
    <w:rsid w:val="00D066D3"/>
    <w:rsid w:val="00D066DF"/>
    <w:rsid w:val="00D06AD7"/>
    <w:rsid w:val="00D071B9"/>
    <w:rsid w:val="00D071FF"/>
    <w:rsid w:val="00D074BE"/>
    <w:rsid w:val="00D075D3"/>
    <w:rsid w:val="00D07652"/>
    <w:rsid w:val="00D07669"/>
    <w:rsid w:val="00D076B7"/>
    <w:rsid w:val="00D0773F"/>
    <w:rsid w:val="00D077EC"/>
    <w:rsid w:val="00D07A17"/>
    <w:rsid w:val="00D07A3C"/>
    <w:rsid w:val="00D07EB1"/>
    <w:rsid w:val="00D1039B"/>
    <w:rsid w:val="00D104A6"/>
    <w:rsid w:val="00D1070A"/>
    <w:rsid w:val="00D10786"/>
    <w:rsid w:val="00D108B9"/>
    <w:rsid w:val="00D10A40"/>
    <w:rsid w:val="00D10CD9"/>
    <w:rsid w:val="00D10D97"/>
    <w:rsid w:val="00D10EAD"/>
    <w:rsid w:val="00D10EB5"/>
    <w:rsid w:val="00D11588"/>
    <w:rsid w:val="00D1162F"/>
    <w:rsid w:val="00D11ADD"/>
    <w:rsid w:val="00D11BCD"/>
    <w:rsid w:val="00D121DE"/>
    <w:rsid w:val="00D12354"/>
    <w:rsid w:val="00D124F1"/>
    <w:rsid w:val="00D12827"/>
    <w:rsid w:val="00D132B0"/>
    <w:rsid w:val="00D13505"/>
    <w:rsid w:val="00D1351E"/>
    <w:rsid w:val="00D137EF"/>
    <w:rsid w:val="00D13A83"/>
    <w:rsid w:val="00D13B42"/>
    <w:rsid w:val="00D13D15"/>
    <w:rsid w:val="00D13EEF"/>
    <w:rsid w:val="00D13F90"/>
    <w:rsid w:val="00D141D5"/>
    <w:rsid w:val="00D1452A"/>
    <w:rsid w:val="00D14567"/>
    <w:rsid w:val="00D14817"/>
    <w:rsid w:val="00D1498D"/>
    <w:rsid w:val="00D14ADA"/>
    <w:rsid w:val="00D14B85"/>
    <w:rsid w:val="00D14D04"/>
    <w:rsid w:val="00D14FF7"/>
    <w:rsid w:val="00D155D5"/>
    <w:rsid w:val="00D15684"/>
    <w:rsid w:val="00D15821"/>
    <w:rsid w:val="00D16110"/>
    <w:rsid w:val="00D1644C"/>
    <w:rsid w:val="00D16967"/>
    <w:rsid w:val="00D16DCA"/>
    <w:rsid w:val="00D16E09"/>
    <w:rsid w:val="00D170D2"/>
    <w:rsid w:val="00D17449"/>
    <w:rsid w:val="00D17BAF"/>
    <w:rsid w:val="00D17C4B"/>
    <w:rsid w:val="00D17D4C"/>
    <w:rsid w:val="00D17EEA"/>
    <w:rsid w:val="00D200CB"/>
    <w:rsid w:val="00D201F0"/>
    <w:rsid w:val="00D201F8"/>
    <w:rsid w:val="00D20B85"/>
    <w:rsid w:val="00D20EFB"/>
    <w:rsid w:val="00D20F14"/>
    <w:rsid w:val="00D20F3A"/>
    <w:rsid w:val="00D2101C"/>
    <w:rsid w:val="00D210B0"/>
    <w:rsid w:val="00D2158A"/>
    <w:rsid w:val="00D216B6"/>
    <w:rsid w:val="00D2173A"/>
    <w:rsid w:val="00D217AF"/>
    <w:rsid w:val="00D21818"/>
    <w:rsid w:val="00D21891"/>
    <w:rsid w:val="00D21A7E"/>
    <w:rsid w:val="00D21B67"/>
    <w:rsid w:val="00D21E64"/>
    <w:rsid w:val="00D21FB2"/>
    <w:rsid w:val="00D22171"/>
    <w:rsid w:val="00D22173"/>
    <w:rsid w:val="00D222B3"/>
    <w:rsid w:val="00D22500"/>
    <w:rsid w:val="00D2274B"/>
    <w:rsid w:val="00D22870"/>
    <w:rsid w:val="00D22A0C"/>
    <w:rsid w:val="00D22B5D"/>
    <w:rsid w:val="00D22BF6"/>
    <w:rsid w:val="00D22FC9"/>
    <w:rsid w:val="00D231D6"/>
    <w:rsid w:val="00D23309"/>
    <w:rsid w:val="00D233B2"/>
    <w:rsid w:val="00D237B8"/>
    <w:rsid w:val="00D23987"/>
    <w:rsid w:val="00D23B1E"/>
    <w:rsid w:val="00D23CC6"/>
    <w:rsid w:val="00D242F3"/>
    <w:rsid w:val="00D2435F"/>
    <w:rsid w:val="00D24D02"/>
    <w:rsid w:val="00D251CF"/>
    <w:rsid w:val="00D2588D"/>
    <w:rsid w:val="00D25C7F"/>
    <w:rsid w:val="00D25CA5"/>
    <w:rsid w:val="00D26A73"/>
    <w:rsid w:val="00D26D6E"/>
    <w:rsid w:val="00D27255"/>
    <w:rsid w:val="00D27533"/>
    <w:rsid w:val="00D277A8"/>
    <w:rsid w:val="00D278A7"/>
    <w:rsid w:val="00D27AF8"/>
    <w:rsid w:val="00D27B9D"/>
    <w:rsid w:val="00D27CD7"/>
    <w:rsid w:val="00D27FF1"/>
    <w:rsid w:val="00D300CF"/>
    <w:rsid w:val="00D3067E"/>
    <w:rsid w:val="00D309A8"/>
    <w:rsid w:val="00D30D9C"/>
    <w:rsid w:val="00D30E48"/>
    <w:rsid w:val="00D30EBC"/>
    <w:rsid w:val="00D310FF"/>
    <w:rsid w:val="00D311D3"/>
    <w:rsid w:val="00D31398"/>
    <w:rsid w:val="00D31683"/>
    <w:rsid w:val="00D31C28"/>
    <w:rsid w:val="00D31F72"/>
    <w:rsid w:val="00D31FC2"/>
    <w:rsid w:val="00D3210B"/>
    <w:rsid w:val="00D32179"/>
    <w:rsid w:val="00D3240C"/>
    <w:rsid w:val="00D32852"/>
    <w:rsid w:val="00D32AF9"/>
    <w:rsid w:val="00D32CE3"/>
    <w:rsid w:val="00D32E7F"/>
    <w:rsid w:val="00D32FC3"/>
    <w:rsid w:val="00D333C8"/>
    <w:rsid w:val="00D3366A"/>
    <w:rsid w:val="00D336E2"/>
    <w:rsid w:val="00D33788"/>
    <w:rsid w:val="00D33930"/>
    <w:rsid w:val="00D33A9E"/>
    <w:rsid w:val="00D33E0F"/>
    <w:rsid w:val="00D3449A"/>
    <w:rsid w:val="00D3450B"/>
    <w:rsid w:val="00D34DAA"/>
    <w:rsid w:val="00D34F0A"/>
    <w:rsid w:val="00D35285"/>
    <w:rsid w:val="00D35976"/>
    <w:rsid w:val="00D359B5"/>
    <w:rsid w:val="00D35A31"/>
    <w:rsid w:val="00D35B9C"/>
    <w:rsid w:val="00D360F8"/>
    <w:rsid w:val="00D363DE"/>
    <w:rsid w:val="00D36BB2"/>
    <w:rsid w:val="00D36D72"/>
    <w:rsid w:val="00D36DDE"/>
    <w:rsid w:val="00D36F42"/>
    <w:rsid w:val="00D36F4C"/>
    <w:rsid w:val="00D3701D"/>
    <w:rsid w:val="00D3726E"/>
    <w:rsid w:val="00D37426"/>
    <w:rsid w:val="00D37429"/>
    <w:rsid w:val="00D37538"/>
    <w:rsid w:val="00D3790D"/>
    <w:rsid w:val="00D37C4F"/>
    <w:rsid w:val="00D4002D"/>
    <w:rsid w:val="00D40315"/>
    <w:rsid w:val="00D40450"/>
    <w:rsid w:val="00D40459"/>
    <w:rsid w:val="00D41328"/>
    <w:rsid w:val="00D413CF"/>
    <w:rsid w:val="00D41488"/>
    <w:rsid w:val="00D41600"/>
    <w:rsid w:val="00D41820"/>
    <w:rsid w:val="00D418F7"/>
    <w:rsid w:val="00D419F7"/>
    <w:rsid w:val="00D41C3D"/>
    <w:rsid w:val="00D41F5F"/>
    <w:rsid w:val="00D42217"/>
    <w:rsid w:val="00D42363"/>
    <w:rsid w:val="00D425B2"/>
    <w:rsid w:val="00D427D7"/>
    <w:rsid w:val="00D42D59"/>
    <w:rsid w:val="00D42F79"/>
    <w:rsid w:val="00D4306A"/>
    <w:rsid w:val="00D4351F"/>
    <w:rsid w:val="00D438CA"/>
    <w:rsid w:val="00D43A67"/>
    <w:rsid w:val="00D43BC5"/>
    <w:rsid w:val="00D43F2A"/>
    <w:rsid w:val="00D43F35"/>
    <w:rsid w:val="00D44122"/>
    <w:rsid w:val="00D441EC"/>
    <w:rsid w:val="00D44254"/>
    <w:rsid w:val="00D442D6"/>
    <w:rsid w:val="00D444F1"/>
    <w:rsid w:val="00D447EB"/>
    <w:rsid w:val="00D447F0"/>
    <w:rsid w:val="00D44C2C"/>
    <w:rsid w:val="00D44E60"/>
    <w:rsid w:val="00D450E9"/>
    <w:rsid w:val="00D4528A"/>
    <w:rsid w:val="00D45495"/>
    <w:rsid w:val="00D45564"/>
    <w:rsid w:val="00D455DE"/>
    <w:rsid w:val="00D45A41"/>
    <w:rsid w:val="00D45B1B"/>
    <w:rsid w:val="00D460A7"/>
    <w:rsid w:val="00D46436"/>
    <w:rsid w:val="00D4650C"/>
    <w:rsid w:val="00D465CA"/>
    <w:rsid w:val="00D46B35"/>
    <w:rsid w:val="00D46BEC"/>
    <w:rsid w:val="00D46C44"/>
    <w:rsid w:val="00D46EB7"/>
    <w:rsid w:val="00D47226"/>
    <w:rsid w:val="00D4726A"/>
    <w:rsid w:val="00D47360"/>
    <w:rsid w:val="00D473C6"/>
    <w:rsid w:val="00D473D0"/>
    <w:rsid w:val="00D474AA"/>
    <w:rsid w:val="00D4751E"/>
    <w:rsid w:val="00D47934"/>
    <w:rsid w:val="00D47DBF"/>
    <w:rsid w:val="00D47EEE"/>
    <w:rsid w:val="00D47FE9"/>
    <w:rsid w:val="00D5029B"/>
    <w:rsid w:val="00D5066C"/>
    <w:rsid w:val="00D5097B"/>
    <w:rsid w:val="00D50A56"/>
    <w:rsid w:val="00D50A96"/>
    <w:rsid w:val="00D50AD2"/>
    <w:rsid w:val="00D50FDA"/>
    <w:rsid w:val="00D51400"/>
    <w:rsid w:val="00D51E2A"/>
    <w:rsid w:val="00D52015"/>
    <w:rsid w:val="00D521FB"/>
    <w:rsid w:val="00D52765"/>
    <w:rsid w:val="00D527B1"/>
    <w:rsid w:val="00D527D3"/>
    <w:rsid w:val="00D52817"/>
    <w:rsid w:val="00D528A9"/>
    <w:rsid w:val="00D52AA2"/>
    <w:rsid w:val="00D52B02"/>
    <w:rsid w:val="00D52BB3"/>
    <w:rsid w:val="00D52F90"/>
    <w:rsid w:val="00D53150"/>
    <w:rsid w:val="00D533A6"/>
    <w:rsid w:val="00D533F2"/>
    <w:rsid w:val="00D53865"/>
    <w:rsid w:val="00D53877"/>
    <w:rsid w:val="00D53A67"/>
    <w:rsid w:val="00D53E9E"/>
    <w:rsid w:val="00D53F3C"/>
    <w:rsid w:val="00D5401F"/>
    <w:rsid w:val="00D54181"/>
    <w:rsid w:val="00D54319"/>
    <w:rsid w:val="00D54594"/>
    <w:rsid w:val="00D54A11"/>
    <w:rsid w:val="00D54F24"/>
    <w:rsid w:val="00D551E7"/>
    <w:rsid w:val="00D552E1"/>
    <w:rsid w:val="00D552F2"/>
    <w:rsid w:val="00D5546A"/>
    <w:rsid w:val="00D55BA4"/>
    <w:rsid w:val="00D55C75"/>
    <w:rsid w:val="00D55D1E"/>
    <w:rsid w:val="00D56114"/>
    <w:rsid w:val="00D56187"/>
    <w:rsid w:val="00D565F0"/>
    <w:rsid w:val="00D56DA5"/>
    <w:rsid w:val="00D56F63"/>
    <w:rsid w:val="00D571D8"/>
    <w:rsid w:val="00D57431"/>
    <w:rsid w:val="00D578FC"/>
    <w:rsid w:val="00D57E21"/>
    <w:rsid w:val="00D57E90"/>
    <w:rsid w:val="00D57F38"/>
    <w:rsid w:val="00D600CC"/>
    <w:rsid w:val="00D600F8"/>
    <w:rsid w:val="00D602AC"/>
    <w:rsid w:val="00D604A1"/>
    <w:rsid w:val="00D6070D"/>
    <w:rsid w:val="00D6087E"/>
    <w:rsid w:val="00D60A74"/>
    <w:rsid w:val="00D60AFA"/>
    <w:rsid w:val="00D61021"/>
    <w:rsid w:val="00D614B6"/>
    <w:rsid w:val="00D6154D"/>
    <w:rsid w:val="00D6171A"/>
    <w:rsid w:val="00D61A6F"/>
    <w:rsid w:val="00D62207"/>
    <w:rsid w:val="00D6239A"/>
    <w:rsid w:val="00D628A6"/>
    <w:rsid w:val="00D629D7"/>
    <w:rsid w:val="00D62BB0"/>
    <w:rsid w:val="00D62D58"/>
    <w:rsid w:val="00D62F7F"/>
    <w:rsid w:val="00D630FC"/>
    <w:rsid w:val="00D63342"/>
    <w:rsid w:val="00D6342E"/>
    <w:rsid w:val="00D6378E"/>
    <w:rsid w:val="00D639B9"/>
    <w:rsid w:val="00D63A18"/>
    <w:rsid w:val="00D63BE0"/>
    <w:rsid w:val="00D63C32"/>
    <w:rsid w:val="00D63F0D"/>
    <w:rsid w:val="00D642FA"/>
    <w:rsid w:val="00D64681"/>
    <w:rsid w:val="00D64B32"/>
    <w:rsid w:val="00D64C0C"/>
    <w:rsid w:val="00D64C16"/>
    <w:rsid w:val="00D65133"/>
    <w:rsid w:val="00D65190"/>
    <w:rsid w:val="00D6528B"/>
    <w:rsid w:val="00D654F6"/>
    <w:rsid w:val="00D65971"/>
    <w:rsid w:val="00D65ABC"/>
    <w:rsid w:val="00D65B3C"/>
    <w:rsid w:val="00D65C1F"/>
    <w:rsid w:val="00D65CDC"/>
    <w:rsid w:val="00D662AD"/>
    <w:rsid w:val="00D66933"/>
    <w:rsid w:val="00D66995"/>
    <w:rsid w:val="00D66A4E"/>
    <w:rsid w:val="00D66C67"/>
    <w:rsid w:val="00D66D09"/>
    <w:rsid w:val="00D66DD6"/>
    <w:rsid w:val="00D67322"/>
    <w:rsid w:val="00D675E6"/>
    <w:rsid w:val="00D6768A"/>
    <w:rsid w:val="00D676BD"/>
    <w:rsid w:val="00D67A29"/>
    <w:rsid w:val="00D67CC2"/>
    <w:rsid w:val="00D67D8B"/>
    <w:rsid w:val="00D70061"/>
    <w:rsid w:val="00D7028F"/>
    <w:rsid w:val="00D706CA"/>
    <w:rsid w:val="00D706E3"/>
    <w:rsid w:val="00D70AA2"/>
    <w:rsid w:val="00D70B27"/>
    <w:rsid w:val="00D70B49"/>
    <w:rsid w:val="00D70B74"/>
    <w:rsid w:val="00D70FA5"/>
    <w:rsid w:val="00D71290"/>
    <w:rsid w:val="00D7129B"/>
    <w:rsid w:val="00D71425"/>
    <w:rsid w:val="00D715F9"/>
    <w:rsid w:val="00D716D8"/>
    <w:rsid w:val="00D71AD4"/>
    <w:rsid w:val="00D72148"/>
    <w:rsid w:val="00D721C3"/>
    <w:rsid w:val="00D72597"/>
    <w:rsid w:val="00D72765"/>
    <w:rsid w:val="00D734E9"/>
    <w:rsid w:val="00D73776"/>
    <w:rsid w:val="00D73B44"/>
    <w:rsid w:val="00D73DC3"/>
    <w:rsid w:val="00D73FA5"/>
    <w:rsid w:val="00D74251"/>
    <w:rsid w:val="00D7431F"/>
    <w:rsid w:val="00D74479"/>
    <w:rsid w:val="00D74625"/>
    <w:rsid w:val="00D74A09"/>
    <w:rsid w:val="00D74ABE"/>
    <w:rsid w:val="00D75252"/>
    <w:rsid w:val="00D753D1"/>
    <w:rsid w:val="00D75456"/>
    <w:rsid w:val="00D754DE"/>
    <w:rsid w:val="00D754F5"/>
    <w:rsid w:val="00D75548"/>
    <w:rsid w:val="00D755CA"/>
    <w:rsid w:val="00D755E8"/>
    <w:rsid w:val="00D7564F"/>
    <w:rsid w:val="00D75676"/>
    <w:rsid w:val="00D75688"/>
    <w:rsid w:val="00D75A54"/>
    <w:rsid w:val="00D75FA4"/>
    <w:rsid w:val="00D76214"/>
    <w:rsid w:val="00D762AC"/>
    <w:rsid w:val="00D7649B"/>
    <w:rsid w:val="00D7652C"/>
    <w:rsid w:val="00D766A7"/>
    <w:rsid w:val="00D76770"/>
    <w:rsid w:val="00D7692F"/>
    <w:rsid w:val="00D76A24"/>
    <w:rsid w:val="00D76A5F"/>
    <w:rsid w:val="00D76B78"/>
    <w:rsid w:val="00D76CA6"/>
    <w:rsid w:val="00D76D09"/>
    <w:rsid w:val="00D76FC0"/>
    <w:rsid w:val="00D770A1"/>
    <w:rsid w:val="00D77169"/>
    <w:rsid w:val="00D7738E"/>
    <w:rsid w:val="00D774DE"/>
    <w:rsid w:val="00D774E0"/>
    <w:rsid w:val="00D77515"/>
    <w:rsid w:val="00D77700"/>
    <w:rsid w:val="00D777F4"/>
    <w:rsid w:val="00D77849"/>
    <w:rsid w:val="00D77AC1"/>
    <w:rsid w:val="00D77D6D"/>
    <w:rsid w:val="00D77F72"/>
    <w:rsid w:val="00D77FE7"/>
    <w:rsid w:val="00D80078"/>
    <w:rsid w:val="00D80137"/>
    <w:rsid w:val="00D80150"/>
    <w:rsid w:val="00D803FE"/>
    <w:rsid w:val="00D808D6"/>
    <w:rsid w:val="00D80B38"/>
    <w:rsid w:val="00D80C80"/>
    <w:rsid w:val="00D80C84"/>
    <w:rsid w:val="00D80C8D"/>
    <w:rsid w:val="00D80EAA"/>
    <w:rsid w:val="00D80F60"/>
    <w:rsid w:val="00D81487"/>
    <w:rsid w:val="00D81561"/>
    <w:rsid w:val="00D8157D"/>
    <w:rsid w:val="00D81891"/>
    <w:rsid w:val="00D81AF2"/>
    <w:rsid w:val="00D81BE9"/>
    <w:rsid w:val="00D81D37"/>
    <w:rsid w:val="00D81E5E"/>
    <w:rsid w:val="00D81E78"/>
    <w:rsid w:val="00D81EC3"/>
    <w:rsid w:val="00D8215D"/>
    <w:rsid w:val="00D8222F"/>
    <w:rsid w:val="00D8223D"/>
    <w:rsid w:val="00D822D0"/>
    <w:rsid w:val="00D825B9"/>
    <w:rsid w:val="00D827CC"/>
    <w:rsid w:val="00D82A82"/>
    <w:rsid w:val="00D82C39"/>
    <w:rsid w:val="00D82E0A"/>
    <w:rsid w:val="00D82E0B"/>
    <w:rsid w:val="00D830CD"/>
    <w:rsid w:val="00D83175"/>
    <w:rsid w:val="00D832C5"/>
    <w:rsid w:val="00D83393"/>
    <w:rsid w:val="00D8376B"/>
    <w:rsid w:val="00D839EE"/>
    <w:rsid w:val="00D84020"/>
    <w:rsid w:val="00D8403A"/>
    <w:rsid w:val="00D84080"/>
    <w:rsid w:val="00D84244"/>
    <w:rsid w:val="00D84264"/>
    <w:rsid w:val="00D8439A"/>
    <w:rsid w:val="00D846E4"/>
    <w:rsid w:val="00D84ABD"/>
    <w:rsid w:val="00D84B30"/>
    <w:rsid w:val="00D84BD1"/>
    <w:rsid w:val="00D84EAC"/>
    <w:rsid w:val="00D85281"/>
    <w:rsid w:val="00D85601"/>
    <w:rsid w:val="00D856BD"/>
    <w:rsid w:val="00D8579B"/>
    <w:rsid w:val="00D85902"/>
    <w:rsid w:val="00D8592B"/>
    <w:rsid w:val="00D85964"/>
    <w:rsid w:val="00D859D9"/>
    <w:rsid w:val="00D85D94"/>
    <w:rsid w:val="00D85F27"/>
    <w:rsid w:val="00D85F7F"/>
    <w:rsid w:val="00D860F0"/>
    <w:rsid w:val="00D86814"/>
    <w:rsid w:val="00D86933"/>
    <w:rsid w:val="00D86ECA"/>
    <w:rsid w:val="00D870CB"/>
    <w:rsid w:val="00D872FB"/>
    <w:rsid w:val="00D873DE"/>
    <w:rsid w:val="00D87472"/>
    <w:rsid w:val="00D87919"/>
    <w:rsid w:val="00D90048"/>
    <w:rsid w:val="00D90379"/>
    <w:rsid w:val="00D903C9"/>
    <w:rsid w:val="00D90A9B"/>
    <w:rsid w:val="00D91026"/>
    <w:rsid w:val="00D91429"/>
    <w:rsid w:val="00D914A1"/>
    <w:rsid w:val="00D9195F"/>
    <w:rsid w:val="00D91A55"/>
    <w:rsid w:val="00D91C2E"/>
    <w:rsid w:val="00D91CC2"/>
    <w:rsid w:val="00D924C1"/>
    <w:rsid w:val="00D927DC"/>
    <w:rsid w:val="00D92993"/>
    <w:rsid w:val="00D92AED"/>
    <w:rsid w:val="00D92B2E"/>
    <w:rsid w:val="00D92C6C"/>
    <w:rsid w:val="00D92FB0"/>
    <w:rsid w:val="00D930B3"/>
    <w:rsid w:val="00D938CC"/>
    <w:rsid w:val="00D93917"/>
    <w:rsid w:val="00D93957"/>
    <w:rsid w:val="00D9397C"/>
    <w:rsid w:val="00D939AF"/>
    <w:rsid w:val="00D93B8C"/>
    <w:rsid w:val="00D93F8C"/>
    <w:rsid w:val="00D944F6"/>
    <w:rsid w:val="00D945D5"/>
    <w:rsid w:val="00D94717"/>
    <w:rsid w:val="00D94943"/>
    <w:rsid w:val="00D949E7"/>
    <w:rsid w:val="00D94B05"/>
    <w:rsid w:val="00D94B0C"/>
    <w:rsid w:val="00D94B9F"/>
    <w:rsid w:val="00D94DC7"/>
    <w:rsid w:val="00D9500F"/>
    <w:rsid w:val="00D9504C"/>
    <w:rsid w:val="00D95177"/>
    <w:rsid w:val="00D951D5"/>
    <w:rsid w:val="00D953F8"/>
    <w:rsid w:val="00D9540E"/>
    <w:rsid w:val="00D956F5"/>
    <w:rsid w:val="00D95A0E"/>
    <w:rsid w:val="00D95BC0"/>
    <w:rsid w:val="00D95C10"/>
    <w:rsid w:val="00D95C6F"/>
    <w:rsid w:val="00D95DF1"/>
    <w:rsid w:val="00D9641D"/>
    <w:rsid w:val="00D968EC"/>
    <w:rsid w:val="00D969E3"/>
    <w:rsid w:val="00D96BA7"/>
    <w:rsid w:val="00D96C24"/>
    <w:rsid w:val="00D974B7"/>
    <w:rsid w:val="00D9757F"/>
    <w:rsid w:val="00D9764D"/>
    <w:rsid w:val="00D97695"/>
    <w:rsid w:val="00D977AB"/>
    <w:rsid w:val="00D97CFF"/>
    <w:rsid w:val="00D97D20"/>
    <w:rsid w:val="00DA0209"/>
    <w:rsid w:val="00DA0E2A"/>
    <w:rsid w:val="00DA0E5D"/>
    <w:rsid w:val="00DA0F30"/>
    <w:rsid w:val="00DA0F88"/>
    <w:rsid w:val="00DA1A36"/>
    <w:rsid w:val="00DA1A4C"/>
    <w:rsid w:val="00DA1A64"/>
    <w:rsid w:val="00DA1B8E"/>
    <w:rsid w:val="00DA1BA8"/>
    <w:rsid w:val="00DA1F7D"/>
    <w:rsid w:val="00DA21A4"/>
    <w:rsid w:val="00DA21D5"/>
    <w:rsid w:val="00DA2404"/>
    <w:rsid w:val="00DA2406"/>
    <w:rsid w:val="00DA270B"/>
    <w:rsid w:val="00DA2922"/>
    <w:rsid w:val="00DA2B2C"/>
    <w:rsid w:val="00DA2BC5"/>
    <w:rsid w:val="00DA2C04"/>
    <w:rsid w:val="00DA2C9F"/>
    <w:rsid w:val="00DA3587"/>
    <w:rsid w:val="00DA3645"/>
    <w:rsid w:val="00DA3927"/>
    <w:rsid w:val="00DA3B4A"/>
    <w:rsid w:val="00DA3CF7"/>
    <w:rsid w:val="00DA410F"/>
    <w:rsid w:val="00DA4224"/>
    <w:rsid w:val="00DA4325"/>
    <w:rsid w:val="00DA4440"/>
    <w:rsid w:val="00DA45FE"/>
    <w:rsid w:val="00DA4683"/>
    <w:rsid w:val="00DA48EC"/>
    <w:rsid w:val="00DA4BDB"/>
    <w:rsid w:val="00DA4DCA"/>
    <w:rsid w:val="00DA4E58"/>
    <w:rsid w:val="00DA5140"/>
    <w:rsid w:val="00DA5525"/>
    <w:rsid w:val="00DA555D"/>
    <w:rsid w:val="00DA583E"/>
    <w:rsid w:val="00DA5B33"/>
    <w:rsid w:val="00DA5B9D"/>
    <w:rsid w:val="00DA5CB8"/>
    <w:rsid w:val="00DA607C"/>
    <w:rsid w:val="00DA63A2"/>
    <w:rsid w:val="00DA64DD"/>
    <w:rsid w:val="00DA65AF"/>
    <w:rsid w:val="00DA65B7"/>
    <w:rsid w:val="00DA65BD"/>
    <w:rsid w:val="00DA6AEB"/>
    <w:rsid w:val="00DA6DB6"/>
    <w:rsid w:val="00DA72F4"/>
    <w:rsid w:val="00DA7806"/>
    <w:rsid w:val="00DA78BA"/>
    <w:rsid w:val="00DA7ABA"/>
    <w:rsid w:val="00DB01CA"/>
    <w:rsid w:val="00DB038A"/>
    <w:rsid w:val="00DB04E1"/>
    <w:rsid w:val="00DB078E"/>
    <w:rsid w:val="00DB07C1"/>
    <w:rsid w:val="00DB0988"/>
    <w:rsid w:val="00DB0C04"/>
    <w:rsid w:val="00DB0EAC"/>
    <w:rsid w:val="00DB146C"/>
    <w:rsid w:val="00DB19AA"/>
    <w:rsid w:val="00DB1B02"/>
    <w:rsid w:val="00DB1C8F"/>
    <w:rsid w:val="00DB1CE9"/>
    <w:rsid w:val="00DB1DD1"/>
    <w:rsid w:val="00DB1E39"/>
    <w:rsid w:val="00DB227F"/>
    <w:rsid w:val="00DB22E7"/>
    <w:rsid w:val="00DB23B5"/>
    <w:rsid w:val="00DB2677"/>
    <w:rsid w:val="00DB2776"/>
    <w:rsid w:val="00DB2D1B"/>
    <w:rsid w:val="00DB2EF5"/>
    <w:rsid w:val="00DB30D2"/>
    <w:rsid w:val="00DB32B9"/>
    <w:rsid w:val="00DB33BD"/>
    <w:rsid w:val="00DB3814"/>
    <w:rsid w:val="00DB3948"/>
    <w:rsid w:val="00DB3D81"/>
    <w:rsid w:val="00DB3DBA"/>
    <w:rsid w:val="00DB446A"/>
    <w:rsid w:val="00DB45E6"/>
    <w:rsid w:val="00DB47ED"/>
    <w:rsid w:val="00DB48FC"/>
    <w:rsid w:val="00DB4C34"/>
    <w:rsid w:val="00DB4D5E"/>
    <w:rsid w:val="00DB4EFD"/>
    <w:rsid w:val="00DB4F25"/>
    <w:rsid w:val="00DB5195"/>
    <w:rsid w:val="00DB5258"/>
    <w:rsid w:val="00DB53DD"/>
    <w:rsid w:val="00DB5CAF"/>
    <w:rsid w:val="00DB6184"/>
    <w:rsid w:val="00DB6570"/>
    <w:rsid w:val="00DB659A"/>
    <w:rsid w:val="00DB65F9"/>
    <w:rsid w:val="00DB66F7"/>
    <w:rsid w:val="00DB6BE6"/>
    <w:rsid w:val="00DB6CDC"/>
    <w:rsid w:val="00DB6F38"/>
    <w:rsid w:val="00DB765D"/>
    <w:rsid w:val="00DB7684"/>
    <w:rsid w:val="00DB77F3"/>
    <w:rsid w:val="00DB78C2"/>
    <w:rsid w:val="00DB7DAD"/>
    <w:rsid w:val="00DB7DE3"/>
    <w:rsid w:val="00DB7F61"/>
    <w:rsid w:val="00DC051A"/>
    <w:rsid w:val="00DC083E"/>
    <w:rsid w:val="00DC098E"/>
    <w:rsid w:val="00DC0A5F"/>
    <w:rsid w:val="00DC0D44"/>
    <w:rsid w:val="00DC0F1F"/>
    <w:rsid w:val="00DC0F5A"/>
    <w:rsid w:val="00DC13FE"/>
    <w:rsid w:val="00DC1D05"/>
    <w:rsid w:val="00DC1D49"/>
    <w:rsid w:val="00DC213E"/>
    <w:rsid w:val="00DC2260"/>
    <w:rsid w:val="00DC248D"/>
    <w:rsid w:val="00DC2590"/>
    <w:rsid w:val="00DC27FB"/>
    <w:rsid w:val="00DC28C0"/>
    <w:rsid w:val="00DC28CC"/>
    <w:rsid w:val="00DC293B"/>
    <w:rsid w:val="00DC29B8"/>
    <w:rsid w:val="00DC2ACA"/>
    <w:rsid w:val="00DC2C7D"/>
    <w:rsid w:val="00DC2D08"/>
    <w:rsid w:val="00DC2E71"/>
    <w:rsid w:val="00DC3001"/>
    <w:rsid w:val="00DC31BF"/>
    <w:rsid w:val="00DC371A"/>
    <w:rsid w:val="00DC3785"/>
    <w:rsid w:val="00DC3B50"/>
    <w:rsid w:val="00DC3C55"/>
    <w:rsid w:val="00DC3CBC"/>
    <w:rsid w:val="00DC3D01"/>
    <w:rsid w:val="00DC4007"/>
    <w:rsid w:val="00DC41D2"/>
    <w:rsid w:val="00DC4303"/>
    <w:rsid w:val="00DC4BF9"/>
    <w:rsid w:val="00DC4C4D"/>
    <w:rsid w:val="00DC5010"/>
    <w:rsid w:val="00DC50A8"/>
    <w:rsid w:val="00DC5284"/>
    <w:rsid w:val="00DC5CD9"/>
    <w:rsid w:val="00DC5E39"/>
    <w:rsid w:val="00DC5EBA"/>
    <w:rsid w:val="00DC63D1"/>
    <w:rsid w:val="00DC6831"/>
    <w:rsid w:val="00DC687D"/>
    <w:rsid w:val="00DC6C34"/>
    <w:rsid w:val="00DC6D75"/>
    <w:rsid w:val="00DC6FC4"/>
    <w:rsid w:val="00DC6FDD"/>
    <w:rsid w:val="00DC73F2"/>
    <w:rsid w:val="00DC7787"/>
    <w:rsid w:val="00DC7806"/>
    <w:rsid w:val="00DC7D55"/>
    <w:rsid w:val="00DC7E5B"/>
    <w:rsid w:val="00DC7F35"/>
    <w:rsid w:val="00DD009C"/>
    <w:rsid w:val="00DD00B3"/>
    <w:rsid w:val="00DD02B9"/>
    <w:rsid w:val="00DD055F"/>
    <w:rsid w:val="00DD08E6"/>
    <w:rsid w:val="00DD0B88"/>
    <w:rsid w:val="00DD0DA0"/>
    <w:rsid w:val="00DD0E1D"/>
    <w:rsid w:val="00DD0EED"/>
    <w:rsid w:val="00DD0F5B"/>
    <w:rsid w:val="00DD110F"/>
    <w:rsid w:val="00DD1250"/>
    <w:rsid w:val="00DD147A"/>
    <w:rsid w:val="00DD15C8"/>
    <w:rsid w:val="00DD15F8"/>
    <w:rsid w:val="00DD18A6"/>
    <w:rsid w:val="00DD1B1E"/>
    <w:rsid w:val="00DD1C18"/>
    <w:rsid w:val="00DD223F"/>
    <w:rsid w:val="00DD252C"/>
    <w:rsid w:val="00DD2746"/>
    <w:rsid w:val="00DD280B"/>
    <w:rsid w:val="00DD2A09"/>
    <w:rsid w:val="00DD2D74"/>
    <w:rsid w:val="00DD2DF7"/>
    <w:rsid w:val="00DD2EEC"/>
    <w:rsid w:val="00DD2F8D"/>
    <w:rsid w:val="00DD2FC5"/>
    <w:rsid w:val="00DD3400"/>
    <w:rsid w:val="00DD366C"/>
    <w:rsid w:val="00DD41EA"/>
    <w:rsid w:val="00DD4209"/>
    <w:rsid w:val="00DD44CC"/>
    <w:rsid w:val="00DD4AD3"/>
    <w:rsid w:val="00DD4BE3"/>
    <w:rsid w:val="00DD4C61"/>
    <w:rsid w:val="00DD4DA9"/>
    <w:rsid w:val="00DD50F4"/>
    <w:rsid w:val="00DD52B7"/>
    <w:rsid w:val="00DD52E1"/>
    <w:rsid w:val="00DD536B"/>
    <w:rsid w:val="00DD5557"/>
    <w:rsid w:val="00DD55BE"/>
    <w:rsid w:val="00DD57DF"/>
    <w:rsid w:val="00DD59D6"/>
    <w:rsid w:val="00DD5A40"/>
    <w:rsid w:val="00DD5FBA"/>
    <w:rsid w:val="00DD6504"/>
    <w:rsid w:val="00DD6CB5"/>
    <w:rsid w:val="00DD6D66"/>
    <w:rsid w:val="00DD6E6B"/>
    <w:rsid w:val="00DD70EA"/>
    <w:rsid w:val="00DD71E4"/>
    <w:rsid w:val="00DD72A6"/>
    <w:rsid w:val="00DD74A1"/>
    <w:rsid w:val="00DD7647"/>
    <w:rsid w:val="00DD7968"/>
    <w:rsid w:val="00DD7A04"/>
    <w:rsid w:val="00DD7A55"/>
    <w:rsid w:val="00DD7C04"/>
    <w:rsid w:val="00DE00CE"/>
    <w:rsid w:val="00DE01B1"/>
    <w:rsid w:val="00DE01DD"/>
    <w:rsid w:val="00DE0623"/>
    <w:rsid w:val="00DE064F"/>
    <w:rsid w:val="00DE0A10"/>
    <w:rsid w:val="00DE0A27"/>
    <w:rsid w:val="00DE0CA3"/>
    <w:rsid w:val="00DE0D51"/>
    <w:rsid w:val="00DE0D54"/>
    <w:rsid w:val="00DE1137"/>
    <w:rsid w:val="00DE137D"/>
    <w:rsid w:val="00DE13E6"/>
    <w:rsid w:val="00DE140F"/>
    <w:rsid w:val="00DE146F"/>
    <w:rsid w:val="00DE193E"/>
    <w:rsid w:val="00DE1AA8"/>
    <w:rsid w:val="00DE2105"/>
    <w:rsid w:val="00DE227A"/>
    <w:rsid w:val="00DE22F2"/>
    <w:rsid w:val="00DE2373"/>
    <w:rsid w:val="00DE2505"/>
    <w:rsid w:val="00DE2683"/>
    <w:rsid w:val="00DE26B7"/>
    <w:rsid w:val="00DE2ACC"/>
    <w:rsid w:val="00DE2C2E"/>
    <w:rsid w:val="00DE2CD8"/>
    <w:rsid w:val="00DE2EDF"/>
    <w:rsid w:val="00DE3117"/>
    <w:rsid w:val="00DE3126"/>
    <w:rsid w:val="00DE328D"/>
    <w:rsid w:val="00DE3B2E"/>
    <w:rsid w:val="00DE3BBF"/>
    <w:rsid w:val="00DE3BD3"/>
    <w:rsid w:val="00DE3C08"/>
    <w:rsid w:val="00DE3D12"/>
    <w:rsid w:val="00DE4373"/>
    <w:rsid w:val="00DE4512"/>
    <w:rsid w:val="00DE46C9"/>
    <w:rsid w:val="00DE4849"/>
    <w:rsid w:val="00DE49B8"/>
    <w:rsid w:val="00DE4A8A"/>
    <w:rsid w:val="00DE4B48"/>
    <w:rsid w:val="00DE4BA2"/>
    <w:rsid w:val="00DE4BC7"/>
    <w:rsid w:val="00DE4D12"/>
    <w:rsid w:val="00DE4FD1"/>
    <w:rsid w:val="00DE5032"/>
    <w:rsid w:val="00DE507D"/>
    <w:rsid w:val="00DE5142"/>
    <w:rsid w:val="00DE5212"/>
    <w:rsid w:val="00DE522A"/>
    <w:rsid w:val="00DE5464"/>
    <w:rsid w:val="00DE5591"/>
    <w:rsid w:val="00DE5660"/>
    <w:rsid w:val="00DE56AD"/>
    <w:rsid w:val="00DE58E5"/>
    <w:rsid w:val="00DE5DBC"/>
    <w:rsid w:val="00DE60DB"/>
    <w:rsid w:val="00DE6104"/>
    <w:rsid w:val="00DE632A"/>
    <w:rsid w:val="00DE641D"/>
    <w:rsid w:val="00DE6623"/>
    <w:rsid w:val="00DE67B9"/>
    <w:rsid w:val="00DE6969"/>
    <w:rsid w:val="00DE6C13"/>
    <w:rsid w:val="00DE6C45"/>
    <w:rsid w:val="00DE6CFC"/>
    <w:rsid w:val="00DE6E79"/>
    <w:rsid w:val="00DE70D3"/>
    <w:rsid w:val="00DE7503"/>
    <w:rsid w:val="00DE7523"/>
    <w:rsid w:val="00DE7551"/>
    <w:rsid w:val="00DE7863"/>
    <w:rsid w:val="00DE7A3C"/>
    <w:rsid w:val="00DE7AC0"/>
    <w:rsid w:val="00DE7B83"/>
    <w:rsid w:val="00DE7D5E"/>
    <w:rsid w:val="00DF000E"/>
    <w:rsid w:val="00DF0277"/>
    <w:rsid w:val="00DF04C9"/>
    <w:rsid w:val="00DF04F8"/>
    <w:rsid w:val="00DF0524"/>
    <w:rsid w:val="00DF0748"/>
    <w:rsid w:val="00DF0832"/>
    <w:rsid w:val="00DF0950"/>
    <w:rsid w:val="00DF0A6E"/>
    <w:rsid w:val="00DF0DCF"/>
    <w:rsid w:val="00DF0EC1"/>
    <w:rsid w:val="00DF0FA7"/>
    <w:rsid w:val="00DF101F"/>
    <w:rsid w:val="00DF1080"/>
    <w:rsid w:val="00DF1914"/>
    <w:rsid w:val="00DF1967"/>
    <w:rsid w:val="00DF1D26"/>
    <w:rsid w:val="00DF1EDF"/>
    <w:rsid w:val="00DF1F99"/>
    <w:rsid w:val="00DF1FA2"/>
    <w:rsid w:val="00DF2554"/>
    <w:rsid w:val="00DF2DC6"/>
    <w:rsid w:val="00DF3161"/>
    <w:rsid w:val="00DF317E"/>
    <w:rsid w:val="00DF31B7"/>
    <w:rsid w:val="00DF31E4"/>
    <w:rsid w:val="00DF37E4"/>
    <w:rsid w:val="00DF3A56"/>
    <w:rsid w:val="00DF3C86"/>
    <w:rsid w:val="00DF3DE9"/>
    <w:rsid w:val="00DF3E72"/>
    <w:rsid w:val="00DF3EEB"/>
    <w:rsid w:val="00DF46AC"/>
    <w:rsid w:val="00DF48C6"/>
    <w:rsid w:val="00DF4E0B"/>
    <w:rsid w:val="00DF4E42"/>
    <w:rsid w:val="00DF50CA"/>
    <w:rsid w:val="00DF54A3"/>
    <w:rsid w:val="00DF578C"/>
    <w:rsid w:val="00DF5997"/>
    <w:rsid w:val="00DF5A8B"/>
    <w:rsid w:val="00DF5C22"/>
    <w:rsid w:val="00DF5D7C"/>
    <w:rsid w:val="00DF5F2C"/>
    <w:rsid w:val="00DF6204"/>
    <w:rsid w:val="00DF64F7"/>
    <w:rsid w:val="00DF6756"/>
    <w:rsid w:val="00DF677C"/>
    <w:rsid w:val="00DF6C3C"/>
    <w:rsid w:val="00DF6D9D"/>
    <w:rsid w:val="00DF6DE9"/>
    <w:rsid w:val="00DF6F6F"/>
    <w:rsid w:val="00DF743E"/>
    <w:rsid w:val="00DF7544"/>
    <w:rsid w:val="00DF7AD5"/>
    <w:rsid w:val="00DF7D30"/>
    <w:rsid w:val="00DF7D81"/>
    <w:rsid w:val="00DF7E18"/>
    <w:rsid w:val="00E001E1"/>
    <w:rsid w:val="00E0054E"/>
    <w:rsid w:val="00E006E4"/>
    <w:rsid w:val="00E0089B"/>
    <w:rsid w:val="00E00A7C"/>
    <w:rsid w:val="00E00BEC"/>
    <w:rsid w:val="00E00CE8"/>
    <w:rsid w:val="00E00E17"/>
    <w:rsid w:val="00E00E71"/>
    <w:rsid w:val="00E00F54"/>
    <w:rsid w:val="00E00FF6"/>
    <w:rsid w:val="00E0103E"/>
    <w:rsid w:val="00E01067"/>
    <w:rsid w:val="00E01764"/>
    <w:rsid w:val="00E017A6"/>
    <w:rsid w:val="00E029FA"/>
    <w:rsid w:val="00E02AB0"/>
    <w:rsid w:val="00E02B26"/>
    <w:rsid w:val="00E02B96"/>
    <w:rsid w:val="00E02BB0"/>
    <w:rsid w:val="00E02E83"/>
    <w:rsid w:val="00E03121"/>
    <w:rsid w:val="00E033B3"/>
    <w:rsid w:val="00E034CE"/>
    <w:rsid w:val="00E0360A"/>
    <w:rsid w:val="00E03681"/>
    <w:rsid w:val="00E0373C"/>
    <w:rsid w:val="00E039C5"/>
    <w:rsid w:val="00E03CCF"/>
    <w:rsid w:val="00E03D4C"/>
    <w:rsid w:val="00E03DD6"/>
    <w:rsid w:val="00E03FFD"/>
    <w:rsid w:val="00E040A8"/>
    <w:rsid w:val="00E0476F"/>
    <w:rsid w:val="00E04935"/>
    <w:rsid w:val="00E0495C"/>
    <w:rsid w:val="00E04EA1"/>
    <w:rsid w:val="00E05058"/>
    <w:rsid w:val="00E051AA"/>
    <w:rsid w:val="00E055B2"/>
    <w:rsid w:val="00E055E4"/>
    <w:rsid w:val="00E05887"/>
    <w:rsid w:val="00E06167"/>
    <w:rsid w:val="00E06427"/>
    <w:rsid w:val="00E0664D"/>
    <w:rsid w:val="00E0674C"/>
    <w:rsid w:val="00E067B1"/>
    <w:rsid w:val="00E0697B"/>
    <w:rsid w:val="00E07021"/>
    <w:rsid w:val="00E07197"/>
    <w:rsid w:val="00E073C9"/>
    <w:rsid w:val="00E075DD"/>
    <w:rsid w:val="00E075DF"/>
    <w:rsid w:val="00E075F8"/>
    <w:rsid w:val="00E07A3F"/>
    <w:rsid w:val="00E10068"/>
    <w:rsid w:val="00E10389"/>
    <w:rsid w:val="00E1084F"/>
    <w:rsid w:val="00E109D2"/>
    <w:rsid w:val="00E10D6F"/>
    <w:rsid w:val="00E11385"/>
    <w:rsid w:val="00E1188C"/>
    <w:rsid w:val="00E11A42"/>
    <w:rsid w:val="00E11A4C"/>
    <w:rsid w:val="00E11CA0"/>
    <w:rsid w:val="00E11D32"/>
    <w:rsid w:val="00E11F97"/>
    <w:rsid w:val="00E120D3"/>
    <w:rsid w:val="00E12177"/>
    <w:rsid w:val="00E123DE"/>
    <w:rsid w:val="00E125AA"/>
    <w:rsid w:val="00E127B4"/>
    <w:rsid w:val="00E12CCC"/>
    <w:rsid w:val="00E12D05"/>
    <w:rsid w:val="00E12D61"/>
    <w:rsid w:val="00E13654"/>
    <w:rsid w:val="00E13749"/>
    <w:rsid w:val="00E1396C"/>
    <w:rsid w:val="00E1469D"/>
    <w:rsid w:val="00E146D4"/>
    <w:rsid w:val="00E14774"/>
    <w:rsid w:val="00E147C6"/>
    <w:rsid w:val="00E14B0E"/>
    <w:rsid w:val="00E14F95"/>
    <w:rsid w:val="00E150A6"/>
    <w:rsid w:val="00E150A9"/>
    <w:rsid w:val="00E15359"/>
    <w:rsid w:val="00E1541A"/>
    <w:rsid w:val="00E15729"/>
    <w:rsid w:val="00E15C74"/>
    <w:rsid w:val="00E15CF0"/>
    <w:rsid w:val="00E15E1B"/>
    <w:rsid w:val="00E15F11"/>
    <w:rsid w:val="00E16010"/>
    <w:rsid w:val="00E161E7"/>
    <w:rsid w:val="00E1671B"/>
    <w:rsid w:val="00E16B88"/>
    <w:rsid w:val="00E16CD0"/>
    <w:rsid w:val="00E170D9"/>
    <w:rsid w:val="00E17642"/>
    <w:rsid w:val="00E17675"/>
    <w:rsid w:val="00E202FD"/>
    <w:rsid w:val="00E20306"/>
    <w:rsid w:val="00E20361"/>
    <w:rsid w:val="00E20405"/>
    <w:rsid w:val="00E20471"/>
    <w:rsid w:val="00E2098F"/>
    <w:rsid w:val="00E20AB4"/>
    <w:rsid w:val="00E20AE6"/>
    <w:rsid w:val="00E20B01"/>
    <w:rsid w:val="00E20DB8"/>
    <w:rsid w:val="00E20E7B"/>
    <w:rsid w:val="00E20F13"/>
    <w:rsid w:val="00E21196"/>
    <w:rsid w:val="00E21FC3"/>
    <w:rsid w:val="00E22028"/>
    <w:rsid w:val="00E22255"/>
    <w:rsid w:val="00E223B0"/>
    <w:rsid w:val="00E22497"/>
    <w:rsid w:val="00E2267B"/>
    <w:rsid w:val="00E22733"/>
    <w:rsid w:val="00E22834"/>
    <w:rsid w:val="00E22864"/>
    <w:rsid w:val="00E22BE8"/>
    <w:rsid w:val="00E230B2"/>
    <w:rsid w:val="00E230D2"/>
    <w:rsid w:val="00E23217"/>
    <w:rsid w:val="00E232C1"/>
    <w:rsid w:val="00E23703"/>
    <w:rsid w:val="00E2391E"/>
    <w:rsid w:val="00E240E1"/>
    <w:rsid w:val="00E2443F"/>
    <w:rsid w:val="00E2449E"/>
    <w:rsid w:val="00E244BE"/>
    <w:rsid w:val="00E24A73"/>
    <w:rsid w:val="00E24AFF"/>
    <w:rsid w:val="00E24E40"/>
    <w:rsid w:val="00E24F4B"/>
    <w:rsid w:val="00E25087"/>
    <w:rsid w:val="00E25254"/>
    <w:rsid w:val="00E252F2"/>
    <w:rsid w:val="00E256B2"/>
    <w:rsid w:val="00E257AE"/>
    <w:rsid w:val="00E257F4"/>
    <w:rsid w:val="00E259E5"/>
    <w:rsid w:val="00E260AF"/>
    <w:rsid w:val="00E26369"/>
    <w:rsid w:val="00E26582"/>
    <w:rsid w:val="00E2662E"/>
    <w:rsid w:val="00E26767"/>
    <w:rsid w:val="00E27111"/>
    <w:rsid w:val="00E2715F"/>
    <w:rsid w:val="00E27232"/>
    <w:rsid w:val="00E27265"/>
    <w:rsid w:val="00E273D3"/>
    <w:rsid w:val="00E276AA"/>
    <w:rsid w:val="00E27707"/>
    <w:rsid w:val="00E2772D"/>
    <w:rsid w:val="00E2782D"/>
    <w:rsid w:val="00E27845"/>
    <w:rsid w:val="00E278C6"/>
    <w:rsid w:val="00E27943"/>
    <w:rsid w:val="00E279B1"/>
    <w:rsid w:val="00E27C00"/>
    <w:rsid w:val="00E27C86"/>
    <w:rsid w:val="00E27F5B"/>
    <w:rsid w:val="00E3042D"/>
    <w:rsid w:val="00E30641"/>
    <w:rsid w:val="00E30712"/>
    <w:rsid w:val="00E307C8"/>
    <w:rsid w:val="00E3081F"/>
    <w:rsid w:val="00E3097B"/>
    <w:rsid w:val="00E30BE2"/>
    <w:rsid w:val="00E30F07"/>
    <w:rsid w:val="00E31276"/>
    <w:rsid w:val="00E312E1"/>
    <w:rsid w:val="00E31380"/>
    <w:rsid w:val="00E31AF3"/>
    <w:rsid w:val="00E31BCA"/>
    <w:rsid w:val="00E31D09"/>
    <w:rsid w:val="00E31F44"/>
    <w:rsid w:val="00E321C9"/>
    <w:rsid w:val="00E32EC8"/>
    <w:rsid w:val="00E32EF6"/>
    <w:rsid w:val="00E33168"/>
    <w:rsid w:val="00E331E9"/>
    <w:rsid w:val="00E3334F"/>
    <w:rsid w:val="00E333DD"/>
    <w:rsid w:val="00E3390C"/>
    <w:rsid w:val="00E33A1B"/>
    <w:rsid w:val="00E33AFD"/>
    <w:rsid w:val="00E33CA6"/>
    <w:rsid w:val="00E33FD2"/>
    <w:rsid w:val="00E3411F"/>
    <w:rsid w:val="00E342A3"/>
    <w:rsid w:val="00E346B0"/>
    <w:rsid w:val="00E34CDA"/>
    <w:rsid w:val="00E3505C"/>
    <w:rsid w:val="00E3529F"/>
    <w:rsid w:val="00E35380"/>
    <w:rsid w:val="00E356DB"/>
    <w:rsid w:val="00E35806"/>
    <w:rsid w:val="00E35BDD"/>
    <w:rsid w:val="00E35C82"/>
    <w:rsid w:val="00E35D52"/>
    <w:rsid w:val="00E3602D"/>
    <w:rsid w:val="00E3624B"/>
    <w:rsid w:val="00E36446"/>
    <w:rsid w:val="00E3651F"/>
    <w:rsid w:val="00E365A3"/>
    <w:rsid w:val="00E365B8"/>
    <w:rsid w:val="00E366F2"/>
    <w:rsid w:val="00E367E5"/>
    <w:rsid w:val="00E367F9"/>
    <w:rsid w:val="00E36A25"/>
    <w:rsid w:val="00E36B09"/>
    <w:rsid w:val="00E36B21"/>
    <w:rsid w:val="00E36CC8"/>
    <w:rsid w:val="00E36D42"/>
    <w:rsid w:val="00E376C7"/>
    <w:rsid w:val="00E3786A"/>
    <w:rsid w:val="00E3794F"/>
    <w:rsid w:val="00E37AC6"/>
    <w:rsid w:val="00E37B34"/>
    <w:rsid w:val="00E37C5E"/>
    <w:rsid w:val="00E37C7F"/>
    <w:rsid w:val="00E37C89"/>
    <w:rsid w:val="00E37F57"/>
    <w:rsid w:val="00E402A8"/>
    <w:rsid w:val="00E40486"/>
    <w:rsid w:val="00E407AA"/>
    <w:rsid w:val="00E4081C"/>
    <w:rsid w:val="00E4088F"/>
    <w:rsid w:val="00E40A2B"/>
    <w:rsid w:val="00E40CF8"/>
    <w:rsid w:val="00E40F43"/>
    <w:rsid w:val="00E411BC"/>
    <w:rsid w:val="00E412ED"/>
    <w:rsid w:val="00E4131B"/>
    <w:rsid w:val="00E41631"/>
    <w:rsid w:val="00E41710"/>
    <w:rsid w:val="00E4174B"/>
    <w:rsid w:val="00E41895"/>
    <w:rsid w:val="00E41A23"/>
    <w:rsid w:val="00E41B80"/>
    <w:rsid w:val="00E41DC7"/>
    <w:rsid w:val="00E41F1B"/>
    <w:rsid w:val="00E4223F"/>
    <w:rsid w:val="00E42334"/>
    <w:rsid w:val="00E424A5"/>
    <w:rsid w:val="00E42636"/>
    <w:rsid w:val="00E42803"/>
    <w:rsid w:val="00E42A1C"/>
    <w:rsid w:val="00E42A4F"/>
    <w:rsid w:val="00E42BE3"/>
    <w:rsid w:val="00E43042"/>
    <w:rsid w:val="00E4310B"/>
    <w:rsid w:val="00E43602"/>
    <w:rsid w:val="00E4368E"/>
    <w:rsid w:val="00E437D7"/>
    <w:rsid w:val="00E438DC"/>
    <w:rsid w:val="00E4390F"/>
    <w:rsid w:val="00E43B8B"/>
    <w:rsid w:val="00E43DFD"/>
    <w:rsid w:val="00E442AE"/>
    <w:rsid w:val="00E44597"/>
    <w:rsid w:val="00E447D2"/>
    <w:rsid w:val="00E45072"/>
    <w:rsid w:val="00E451D3"/>
    <w:rsid w:val="00E45274"/>
    <w:rsid w:val="00E45402"/>
    <w:rsid w:val="00E45ED1"/>
    <w:rsid w:val="00E45F6C"/>
    <w:rsid w:val="00E46128"/>
    <w:rsid w:val="00E46136"/>
    <w:rsid w:val="00E4614D"/>
    <w:rsid w:val="00E461F5"/>
    <w:rsid w:val="00E46222"/>
    <w:rsid w:val="00E46849"/>
    <w:rsid w:val="00E469A6"/>
    <w:rsid w:val="00E46B10"/>
    <w:rsid w:val="00E46D89"/>
    <w:rsid w:val="00E46DF8"/>
    <w:rsid w:val="00E46E5F"/>
    <w:rsid w:val="00E46FD8"/>
    <w:rsid w:val="00E470DA"/>
    <w:rsid w:val="00E47221"/>
    <w:rsid w:val="00E475FD"/>
    <w:rsid w:val="00E478E9"/>
    <w:rsid w:val="00E47C1C"/>
    <w:rsid w:val="00E47FCA"/>
    <w:rsid w:val="00E5005B"/>
    <w:rsid w:val="00E503A1"/>
    <w:rsid w:val="00E5054C"/>
    <w:rsid w:val="00E50552"/>
    <w:rsid w:val="00E5057C"/>
    <w:rsid w:val="00E5064B"/>
    <w:rsid w:val="00E506B2"/>
    <w:rsid w:val="00E50E2A"/>
    <w:rsid w:val="00E51795"/>
    <w:rsid w:val="00E517DE"/>
    <w:rsid w:val="00E518F2"/>
    <w:rsid w:val="00E519AB"/>
    <w:rsid w:val="00E51B5B"/>
    <w:rsid w:val="00E51D10"/>
    <w:rsid w:val="00E51EC6"/>
    <w:rsid w:val="00E51F5E"/>
    <w:rsid w:val="00E520AA"/>
    <w:rsid w:val="00E521C5"/>
    <w:rsid w:val="00E5231B"/>
    <w:rsid w:val="00E52376"/>
    <w:rsid w:val="00E5262A"/>
    <w:rsid w:val="00E526C5"/>
    <w:rsid w:val="00E529D8"/>
    <w:rsid w:val="00E52B52"/>
    <w:rsid w:val="00E52C1B"/>
    <w:rsid w:val="00E52DA6"/>
    <w:rsid w:val="00E52F28"/>
    <w:rsid w:val="00E52FA9"/>
    <w:rsid w:val="00E52FB7"/>
    <w:rsid w:val="00E5303E"/>
    <w:rsid w:val="00E5306A"/>
    <w:rsid w:val="00E533A7"/>
    <w:rsid w:val="00E533B5"/>
    <w:rsid w:val="00E5348C"/>
    <w:rsid w:val="00E53498"/>
    <w:rsid w:val="00E53F4F"/>
    <w:rsid w:val="00E53FF0"/>
    <w:rsid w:val="00E54081"/>
    <w:rsid w:val="00E54239"/>
    <w:rsid w:val="00E54363"/>
    <w:rsid w:val="00E543A0"/>
    <w:rsid w:val="00E549EA"/>
    <w:rsid w:val="00E54CB2"/>
    <w:rsid w:val="00E54CB3"/>
    <w:rsid w:val="00E54E11"/>
    <w:rsid w:val="00E55253"/>
    <w:rsid w:val="00E5550D"/>
    <w:rsid w:val="00E55642"/>
    <w:rsid w:val="00E5576C"/>
    <w:rsid w:val="00E5592C"/>
    <w:rsid w:val="00E55A10"/>
    <w:rsid w:val="00E55CFB"/>
    <w:rsid w:val="00E55D58"/>
    <w:rsid w:val="00E55DF3"/>
    <w:rsid w:val="00E55F24"/>
    <w:rsid w:val="00E56554"/>
    <w:rsid w:val="00E565CB"/>
    <w:rsid w:val="00E566AB"/>
    <w:rsid w:val="00E566DF"/>
    <w:rsid w:val="00E56A4E"/>
    <w:rsid w:val="00E56E9E"/>
    <w:rsid w:val="00E57062"/>
    <w:rsid w:val="00E57141"/>
    <w:rsid w:val="00E57574"/>
    <w:rsid w:val="00E57615"/>
    <w:rsid w:val="00E578BD"/>
    <w:rsid w:val="00E579B9"/>
    <w:rsid w:val="00E57B40"/>
    <w:rsid w:val="00E57B44"/>
    <w:rsid w:val="00E57B96"/>
    <w:rsid w:val="00E57BA0"/>
    <w:rsid w:val="00E57BB4"/>
    <w:rsid w:val="00E57E79"/>
    <w:rsid w:val="00E60462"/>
    <w:rsid w:val="00E60507"/>
    <w:rsid w:val="00E60628"/>
    <w:rsid w:val="00E6062A"/>
    <w:rsid w:val="00E60B16"/>
    <w:rsid w:val="00E60E3B"/>
    <w:rsid w:val="00E60F06"/>
    <w:rsid w:val="00E61183"/>
    <w:rsid w:val="00E6150E"/>
    <w:rsid w:val="00E61788"/>
    <w:rsid w:val="00E61860"/>
    <w:rsid w:val="00E618D4"/>
    <w:rsid w:val="00E61BC1"/>
    <w:rsid w:val="00E61E90"/>
    <w:rsid w:val="00E61F3F"/>
    <w:rsid w:val="00E62379"/>
    <w:rsid w:val="00E62493"/>
    <w:rsid w:val="00E6272A"/>
    <w:rsid w:val="00E62899"/>
    <w:rsid w:val="00E62943"/>
    <w:rsid w:val="00E62E74"/>
    <w:rsid w:val="00E63242"/>
    <w:rsid w:val="00E632D6"/>
    <w:rsid w:val="00E635E6"/>
    <w:rsid w:val="00E6370E"/>
    <w:rsid w:val="00E6391C"/>
    <w:rsid w:val="00E63B92"/>
    <w:rsid w:val="00E63C48"/>
    <w:rsid w:val="00E63CD9"/>
    <w:rsid w:val="00E63D6F"/>
    <w:rsid w:val="00E643B5"/>
    <w:rsid w:val="00E645E9"/>
    <w:rsid w:val="00E6473E"/>
    <w:rsid w:val="00E6477C"/>
    <w:rsid w:val="00E648F5"/>
    <w:rsid w:val="00E64E28"/>
    <w:rsid w:val="00E64FD7"/>
    <w:rsid w:val="00E650F6"/>
    <w:rsid w:val="00E6530B"/>
    <w:rsid w:val="00E654ED"/>
    <w:rsid w:val="00E65BE2"/>
    <w:rsid w:val="00E66369"/>
    <w:rsid w:val="00E669A7"/>
    <w:rsid w:val="00E66A2C"/>
    <w:rsid w:val="00E66B25"/>
    <w:rsid w:val="00E66ED7"/>
    <w:rsid w:val="00E6707E"/>
    <w:rsid w:val="00E671FC"/>
    <w:rsid w:val="00E67283"/>
    <w:rsid w:val="00E6784F"/>
    <w:rsid w:val="00E67B1C"/>
    <w:rsid w:val="00E67B55"/>
    <w:rsid w:val="00E7028D"/>
    <w:rsid w:val="00E704FD"/>
    <w:rsid w:val="00E70C24"/>
    <w:rsid w:val="00E70D70"/>
    <w:rsid w:val="00E70D90"/>
    <w:rsid w:val="00E70E77"/>
    <w:rsid w:val="00E7104C"/>
    <w:rsid w:val="00E712FA"/>
    <w:rsid w:val="00E713FD"/>
    <w:rsid w:val="00E714C0"/>
    <w:rsid w:val="00E714E1"/>
    <w:rsid w:val="00E716AD"/>
    <w:rsid w:val="00E71965"/>
    <w:rsid w:val="00E719DE"/>
    <w:rsid w:val="00E71B01"/>
    <w:rsid w:val="00E71C85"/>
    <w:rsid w:val="00E71D9A"/>
    <w:rsid w:val="00E71EC9"/>
    <w:rsid w:val="00E7223E"/>
    <w:rsid w:val="00E7224C"/>
    <w:rsid w:val="00E724DD"/>
    <w:rsid w:val="00E725A0"/>
    <w:rsid w:val="00E728DD"/>
    <w:rsid w:val="00E72913"/>
    <w:rsid w:val="00E729E2"/>
    <w:rsid w:val="00E73184"/>
    <w:rsid w:val="00E738C5"/>
    <w:rsid w:val="00E7390D"/>
    <w:rsid w:val="00E73A2D"/>
    <w:rsid w:val="00E73A62"/>
    <w:rsid w:val="00E73ADC"/>
    <w:rsid w:val="00E73BB3"/>
    <w:rsid w:val="00E73DAB"/>
    <w:rsid w:val="00E741AB"/>
    <w:rsid w:val="00E741C8"/>
    <w:rsid w:val="00E74726"/>
    <w:rsid w:val="00E74BF0"/>
    <w:rsid w:val="00E74E4B"/>
    <w:rsid w:val="00E74F4B"/>
    <w:rsid w:val="00E74F75"/>
    <w:rsid w:val="00E75149"/>
    <w:rsid w:val="00E75518"/>
    <w:rsid w:val="00E75889"/>
    <w:rsid w:val="00E75A22"/>
    <w:rsid w:val="00E75AE3"/>
    <w:rsid w:val="00E75BE6"/>
    <w:rsid w:val="00E75DA7"/>
    <w:rsid w:val="00E75EBC"/>
    <w:rsid w:val="00E75F39"/>
    <w:rsid w:val="00E764F4"/>
    <w:rsid w:val="00E76983"/>
    <w:rsid w:val="00E769D3"/>
    <w:rsid w:val="00E76AF1"/>
    <w:rsid w:val="00E76BF3"/>
    <w:rsid w:val="00E76BFC"/>
    <w:rsid w:val="00E76CAE"/>
    <w:rsid w:val="00E77323"/>
    <w:rsid w:val="00E77359"/>
    <w:rsid w:val="00E77376"/>
    <w:rsid w:val="00E777DB"/>
    <w:rsid w:val="00E77991"/>
    <w:rsid w:val="00E77BC3"/>
    <w:rsid w:val="00E77CDD"/>
    <w:rsid w:val="00E801D2"/>
    <w:rsid w:val="00E80221"/>
    <w:rsid w:val="00E802DB"/>
    <w:rsid w:val="00E803B3"/>
    <w:rsid w:val="00E807C4"/>
    <w:rsid w:val="00E8086D"/>
    <w:rsid w:val="00E80B12"/>
    <w:rsid w:val="00E80BD8"/>
    <w:rsid w:val="00E810A6"/>
    <w:rsid w:val="00E812B7"/>
    <w:rsid w:val="00E8183B"/>
    <w:rsid w:val="00E818FA"/>
    <w:rsid w:val="00E81BA1"/>
    <w:rsid w:val="00E81EAF"/>
    <w:rsid w:val="00E8200E"/>
    <w:rsid w:val="00E8222A"/>
    <w:rsid w:val="00E82256"/>
    <w:rsid w:val="00E82586"/>
    <w:rsid w:val="00E82B34"/>
    <w:rsid w:val="00E82BDC"/>
    <w:rsid w:val="00E82C51"/>
    <w:rsid w:val="00E82CF4"/>
    <w:rsid w:val="00E82F46"/>
    <w:rsid w:val="00E830F8"/>
    <w:rsid w:val="00E83245"/>
    <w:rsid w:val="00E8341F"/>
    <w:rsid w:val="00E8351C"/>
    <w:rsid w:val="00E8358E"/>
    <w:rsid w:val="00E83EBD"/>
    <w:rsid w:val="00E84A19"/>
    <w:rsid w:val="00E84BC2"/>
    <w:rsid w:val="00E84C3C"/>
    <w:rsid w:val="00E84C60"/>
    <w:rsid w:val="00E84EE4"/>
    <w:rsid w:val="00E8519D"/>
    <w:rsid w:val="00E854D9"/>
    <w:rsid w:val="00E85792"/>
    <w:rsid w:val="00E8593A"/>
    <w:rsid w:val="00E85B51"/>
    <w:rsid w:val="00E85BD2"/>
    <w:rsid w:val="00E85F71"/>
    <w:rsid w:val="00E863AA"/>
    <w:rsid w:val="00E868BA"/>
    <w:rsid w:val="00E86A56"/>
    <w:rsid w:val="00E86E47"/>
    <w:rsid w:val="00E86F02"/>
    <w:rsid w:val="00E87095"/>
    <w:rsid w:val="00E872BB"/>
    <w:rsid w:val="00E87350"/>
    <w:rsid w:val="00E87561"/>
    <w:rsid w:val="00E875C1"/>
    <w:rsid w:val="00E876FF"/>
    <w:rsid w:val="00E87701"/>
    <w:rsid w:val="00E87F8D"/>
    <w:rsid w:val="00E87FBD"/>
    <w:rsid w:val="00E90684"/>
    <w:rsid w:val="00E90C8C"/>
    <w:rsid w:val="00E90DDB"/>
    <w:rsid w:val="00E90DE3"/>
    <w:rsid w:val="00E90F38"/>
    <w:rsid w:val="00E9113A"/>
    <w:rsid w:val="00E916EF"/>
    <w:rsid w:val="00E91BFB"/>
    <w:rsid w:val="00E91CD8"/>
    <w:rsid w:val="00E91D6C"/>
    <w:rsid w:val="00E91EE3"/>
    <w:rsid w:val="00E9214A"/>
    <w:rsid w:val="00E92239"/>
    <w:rsid w:val="00E923AE"/>
    <w:rsid w:val="00E923BC"/>
    <w:rsid w:val="00E92877"/>
    <w:rsid w:val="00E92975"/>
    <w:rsid w:val="00E92B55"/>
    <w:rsid w:val="00E92DFD"/>
    <w:rsid w:val="00E92EDF"/>
    <w:rsid w:val="00E92F37"/>
    <w:rsid w:val="00E93048"/>
    <w:rsid w:val="00E9337E"/>
    <w:rsid w:val="00E938EA"/>
    <w:rsid w:val="00E9393F"/>
    <w:rsid w:val="00E93983"/>
    <w:rsid w:val="00E93A91"/>
    <w:rsid w:val="00E93C6D"/>
    <w:rsid w:val="00E93FCD"/>
    <w:rsid w:val="00E94401"/>
    <w:rsid w:val="00E9441A"/>
    <w:rsid w:val="00E9453C"/>
    <w:rsid w:val="00E94553"/>
    <w:rsid w:val="00E9455E"/>
    <w:rsid w:val="00E945C1"/>
    <w:rsid w:val="00E945D8"/>
    <w:rsid w:val="00E94E35"/>
    <w:rsid w:val="00E95369"/>
    <w:rsid w:val="00E953F8"/>
    <w:rsid w:val="00E956B6"/>
    <w:rsid w:val="00E95841"/>
    <w:rsid w:val="00E95CEE"/>
    <w:rsid w:val="00E960AA"/>
    <w:rsid w:val="00E9631C"/>
    <w:rsid w:val="00E96586"/>
    <w:rsid w:val="00E966D2"/>
    <w:rsid w:val="00E96790"/>
    <w:rsid w:val="00E969FF"/>
    <w:rsid w:val="00E96B1D"/>
    <w:rsid w:val="00E96B37"/>
    <w:rsid w:val="00E96CD0"/>
    <w:rsid w:val="00E97117"/>
    <w:rsid w:val="00E975A3"/>
    <w:rsid w:val="00E97A18"/>
    <w:rsid w:val="00E97CDB"/>
    <w:rsid w:val="00E97E25"/>
    <w:rsid w:val="00EA0066"/>
    <w:rsid w:val="00EA00B0"/>
    <w:rsid w:val="00EA01A2"/>
    <w:rsid w:val="00EA028D"/>
    <w:rsid w:val="00EA02EA"/>
    <w:rsid w:val="00EA03B8"/>
    <w:rsid w:val="00EA09C0"/>
    <w:rsid w:val="00EA0C29"/>
    <w:rsid w:val="00EA0EAC"/>
    <w:rsid w:val="00EA130C"/>
    <w:rsid w:val="00EA13C2"/>
    <w:rsid w:val="00EA142B"/>
    <w:rsid w:val="00EA16E0"/>
    <w:rsid w:val="00EA17C8"/>
    <w:rsid w:val="00EA17DA"/>
    <w:rsid w:val="00EA19FD"/>
    <w:rsid w:val="00EA273F"/>
    <w:rsid w:val="00EA2891"/>
    <w:rsid w:val="00EA2D58"/>
    <w:rsid w:val="00EA2E95"/>
    <w:rsid w:val="00EA2F2B"/>
    <w:rsid w:val="00EA3182"/>
    <w:rsid w:val="00EA3405"/>
    <w:rsid w:val="00EA35C2"/>
    <w:rsid w:val="00EA36F6"/>
    <w:rsid w:val="00EA3B74"/>
    <w:rsid w:val="00EA3C34"/>
    <w:rsid w:val="00EA4178"/>
    <w:rsid w:val="00EA4399"/>
    <w:rsid w:val="00EA439D"/>
    <w:rsid w:val="00EA452C"/>
    <w:rsid w:val="00EA4D84"/>
    <w:rsid w:val="00EA4FA0"/>
    <w:rsid w:val="00EA5095"/>
    <w:rsid w:val="00EA5290"/>
    <w:rsid w:val="00EA53DD"/>
    <w:rsid w:val="00EA54A8"/>
    <w:rsid w:val="00EA5D84"/>
    <w:rsid w:val="00EA5F0B"/>
    <w:rsid w:val="00EA6067"/>
    <w:rsid w:val="00EA66BB"/>
    <w:rsid w:val="00EA6842"/>
    <w:rsid w:val="00EA69C2"/>
    <w:rsid w:val="00EA6B6E"/>
    <w:rsid w:val="00EA6C4B"/>
    <w:rsid w:val="00EA6CFB"/>
    <w:rsid w:val="00EA7502"/>
    <w:rsid w:val="00EA7662"/>
    <w:rsid w:val="00EA77EA"/>
    <w:rsid w:val="00EA7919"/>
    <w:rsid w:val="00EA7E23"/>
    <w:rsid w:val="00EA7EB8"/>
    <w:rsid w:val="00EB02EA"/>
    <w:rsid w:val="00EB04F3"/>
    <w:rsid w:val="00EB0EF8"/>
    <w:rsid w:val="00EB1038"/>
    <w:rsid w:val="00EB13A6"/>
    <w:rsid w:val="00EB1407"/>
    <w:rsid w:val="00EB16A0"/>
    <w:rsid w:val="00EB1AE4"/>
    <w:rsid w:val="00EB1BCC"/>
    <w:rsid w:val="00EB1D8D"/>
    <w:rsid w:val="00EB212E"/>
    <w:rsid w:val="00EB2392"/>
    <w:rsid w:val="00EB23B6"/>
    <w:rsid w:val="00EB25C8"/>
    <w:rsid w:val="00EB25F3"/>
    <w:rsid w:val="00EB26DA"/>
    <w:rsid w:val="00EB2B27"/>
    <w:rsid w:val="00EB2BF4"/>
    <w:rsid w:val="00EB2DE2"/>
    <w:rsid w:val="00EB2DF7"/>
    <w:rsid w:val="00EB3098"/>
    <w:rsid w:val="00EB359D"/>
    <w:rsid w:val="00EB3635"/>
    <w:rsid w:val="00EB3ECD"/>
    <w:rsid w:val="00EB3F99"/>
    <w:rsid w:val="00EB3FD1"/>
    <w:rsid w:val="00EB44F8"/>
    <w:rsid w:val="00EB4592"/>
    <w:rsid w:val="00EB4659"/>
    <w:rsid w:val="00EB49BC"/>
    <w:rsid w:val="00EB49DF"/>
    <w:rsid w:val="00EB4AF4"/>
    <w:rsid w:val="00EB4BD1"/>
    <w:rsid w:val="00EB5072"/>
    <w:rsid w:val="00EB5384"/>
    <w:rsid w:val="00EB553D"/>
    <w:rsid w:val="00EB571D"/>
    <w:rsid w:val="00EB57B6"/>
    <w:rsid w:val="00EB5B09"/>
    <w:rsid w:val="00EB5B5F"/>
    <w:rsid w:val="00EB5B95"/>
    <w:rsid w:val="00EB5C24"/>
    <w:rsid w:val="00EB5CFF"/>
    <w:rsid w:val="00EB5E3B"/>
    <w:rsid w:val="00EB6047"/>
    <w:rsid w:val="00EB62C1"/>
    <w:rsid w:val="00EB653E"/>
    <w:rsid w:val="00EB67E0"/>
    <w:rsid w:val="00EB6E6C"/>
    <w:rsid w:val="00EB6FAF"/>
    <w:rsid w:val="00EB720D"/>
    <w:rsid w:val="00EB735E"/>
    <w:rsid w:val="00EB79F8"/>
    <w:rsid w:val="00EB7A8F"/>
    <w:rsid w:val="00EB7BC1"/>
    <w:rsid w:val="00EB7E9C"/>
    <w:rsid w:val="00EC0099"/>
    <w:rsid w:val="00EC03E8"/>
    <w:rsid w:val="00EC0692"/>
    <w:rsid w:val="00EC083C"/>
    <w:rsid w:val="00EC0857"/>
    <w:rsid w:val="00EC09E4"/>
    <w:rsid w:val="00EC0A50"/>
    <w:rsid w:val="00EC0B79"/>
    <w:rsid w:val="00EC0BA7"/>
    <w:rsid w:val="00EC0FBB"/>
    <w:rsid w:val="00EC1308"/>
    <w:rsid w:val="00EC1321"/>
    <w:rsid w:val="00EC14ED"/>
    <w:rsid w:val="00EC170E"/>
    <w:rsid w:val="00EC1A3C"/>
    <w:rsid w:val="00EC1B7E"/>
    <w:rsid w:val="00EC1C0D"/>
    <w:rsid w:val="00EC1C44"/>
    <w:rsid w:val="00EC1C73"/>
    <w:rsid w:val="00EC1F65"/>
    <w:rsid w:val="00EC22BA"/>
    <w:rsid w:val="00EC2350"/>
    <w:rsid w:val="00EC2437"/>
    <w:rsid w:val="00EC28EE"/>
    <w:rsid w:val="00EC2A68"/>
    <w:rsid w:val="00EC2D07"/>
    <w:rsid w:val="00EC3393"/>
    <w:rsid w:val="00EC33D4"/>
    <w:rsid w:val="00EC3EA9"/>
    <w:rsid w:val="00EC41A3"/>
    <w:rsid w:val="00EC4231"/>
    <w:rsid w:val="00EC4369"/>
    <w:rsid w:val="00EC49BC"/>
    <w:rsid w:val="00EC4DBD"/>
    <w:rsid w:val="00EC4E02"/>
    <w:rsid w:val="00EC4EA2"/>
    <w:rsid w:val="00EC5229"/>
    <w:rsid w:val="00EC54B6"/>
    <w:rsid w:val="00EC54B7"/>
    <w:rsid w:val="00EC5BC0"/>
    <w:rsid w:val="00EC6017"/>
    <w:rsid w:val="00EC61A2"/>
    <w:rsid w:val="00EC6318"/>
    <w:rsid w:val="00EC638F"/>
    <w:rsid w:val="00EC67DA"/>
    <w:rsid w:val="00EC6E03"/>
    <w:rsid w:val="00EC752D"/>
    <w:rsid w:val="00EC7F87"/>
    <w:rsid w:val="00ED016D"/>
    <w:rsid w:val="00ED0260"/>
    <w:rsid w:val="00ED02AC"/>
    <w:rsid w:val="00ED03AD"/>
    <w:rsid w:val="00ED0A5B"/>
    <w:rsid w:val="00ED0AC7"/>
    <w:rsid w:val="00ED0C73"/>
    <w:rsid w:val="00ED11BC"/>
    <w:rsid w:val="00ED17FD"/>
    <w:rsid w:val="00ED1877"/>
    <w:rsid w:val="00ED1BF8"/>
    <w:rsid w:val="00ED1E1A"/>
    <w:rsid w:val="00ED2101"/>
    <w:rsid w:val="00ED2342"/>
    <w:rsid w:val="00ED23FA"/>
    <w:rsid w:val="00ED267B"/>
    <w:rsid w:val="00ED26BC"/>
    <w:rsid w:val="00ED2728"/>
    <w:rsid w:val="00ED2752"/>
    <w:rsid w:val="00ED2DE4"/>
    <w:rsid w:val="00ED3077"/>
    <w:rsid w:val="00ED321E"/>
    <w:rsid w:val="00ED3324"/>
    <w:rsid w:val="00ED3509"/>
    <w:rsid w:val="00ED3823"/>
    <w:rsid w:val="00ED3CE4"/>
    <w:rsid w:val="00ED3FB8"/>
    <w:rsid w:val="00ED3FE8"/>
    <w:rsid w:val="00ED456E"/>
    <w:rsid w:val="00ED4986"/>
    <w:rsid w:val="00ED4E35"/>
    <w:rsid w:val="00ED5189"/>
    <w:rsid w:val="00ED5344"/>
    <w:rsid w:val="00ED53CA"/>
    <w:rsid w:val="00ED54A5"/>
    <w:rsid w:val="00ED575A"/>
    <w:rsid w:val="00ED58BA"/>
    <w:rsid w:val="00ED59E8"/>
    <w:rsid w:val="00ED5C26"/>
    <w:rsid w:val="00ED5D9E"/>
    <w:rsid w:val="00ED6132"/>
    <w:rsid w:val="00ED6152"/>
    <w:rsid w:val="00ED61D0"/>
    <w:rsid w:val="00ED67F9"/>
    <w:rsid w:val="00ED68D6"/>
    <w:rsid w:val="00ED6B21"/>
    <w:rsid w:val="00ED6EC7"/>
    <w:rsid w:val="00ED6ECB"/>
    <w:rsid w:val="00ED6FC2"/>
    <w:rsid w:val="00ED6FCD"/>
    <w:rsid w:val="00ED7050"/>
    <w:rsid w:val="00ED71E5"/>
    <w:rsid w:val="00ED7398"/>
    <w:rsid w:val="00ED75AF"/>
    <w:rsid w:val="00ED77BB"/>
    <w:rsid w:val="00ED77D7"/>
    <w:rsid w:val="00ED7D88"/>
    <w:rsid w:val="00ED7F34"/>
    <w:rsid w:val="00EE02D7"/>
    <w:rsid w:val="00EE0448"/>
    <w:rsid w:val="00EE076D"/>
    <w:rsid w:val="00EE0E75"/>
    <w:rsid w:val="00EE11E2"/>
    <w:rsid w:val="00EE134D"/>
    <w:rsid w:val="00EE160E"/>
    <w:rsid w:val="00EE17DC"/>
    <w:rsid w:val="00EE19F1"/>
    <w:rsid w:val="00EE1CC9"/>
    <w:rsid w:val="00EE1DDD"/>
    <w:rsid w:val="00EE1E88"/>
    <w:rsid w:val="00EE2250"/>
    <w:rsid w:val="00EE2349"/>
    <w:rsid w:val="00EE2372"/>
    <w:rsid w:val="00EE2419"/>
    <w:rsid w:val="00EE25BA"/>
    <w:rsid w:val="00EE263E"/>
    <w:rsid w:val="00EE2641"/>
    <w:rsid w:val="00EE2845"/>
    <w:rsid w:val="00EE2A38"/>
    <w:rsid w:val="00EE2A8B"/>
    <w:rsid w:val="00EE2B20"/>
    <w:rsid w:val="00EE2D62"/>
    <w:rsid w:val="00EE2F36"/>
    <w:rsid w:val="00EE2F69"/>
    <w:rsid w:val="00EE2FD0"/>
    <w:rsid w:val="00EE328A"/>
    <w:rsid w:val="00EE3675"/>
    <w:rsid w:val="00EE36CC"/>
    <w:rsid w:val="00EE370D"/>
    <w:rsid w:val="00EE386E"/>
    <w:rsid w:val="00EE3BF1"/>
    <w:rsid w:val="00EE41E5"/>
    <w:rsid w:val="00EE4371"/>
    <w:rsid w:val="00EE442B"/>
    <w:rsid w:val="00EE446C"/>
    <w:rsid w:val="00EE44FC"/>
    <w:rsid w:val="00EE455A"/>
    <w:rsid w:val="00EE457E"/>
    <w:rsid w:val="00EE4A32"/>
    <w:rsid w:val="00EE54B0"/>
    <w:rsid w:val="00EE5961"/>
    <w:rsid w:val="00EE5FA3"/>
    <w:rsid w:val="00EE62DD"/>
    <w:rsid w:val="00EE63B0"/>
    <w:rsid w:val="00EE64B1"/>
    <w:rsid w:val="00EE65E2"/>
    <w:rsid w:val="00EE65E3"/>
    <w:rsid w:val="00EE69AE"/>
    <w:rsid w:val="00EE6CCA"/>
    <w:rsid w:val="00EE6F01"/>
    <w:rsid w:val="00EE7037"/>
    <w:rsid w:val="00EE708B"/>
    <w:rsid w:val="00EE70F5"/>
    <w:rsid w:val="00EF0283"/>
    <w:rsid w:val="00EF030B"/>
    <w:rsid w:val="00EF0336"/>
    <w:rsid w:val="00EF0A66"/>
    <w:rsid w:val="00EF0AA1"/>
    <w:rsid w:val="00EF0C10"/>
    <w:rsid w:val="00EF0C86"/>
    <w:rsid w:val="00EF1150"/>
    <w:rsid w:val="00EF1748"/>
    <w:rsid w:val="00EF1C4E"/>
    <w:rsid w:val="00EF1E00"/>
    <w:rsid w:val="00EF1FAD"/>
    <w:rsid w:val="00EF2094"/>
    <w:rsid w:val="00EF20F6"/>
    <w:rsid w:val="00EF21C6"/>
    <w:rsid w:val="00EF21EA"/>
    <w:rsid w:val="00EF2341"/>
    <w:rsid w:val="00EF2422"/>
    <w:rsid w:val="00EF276B"/>
    <w:rsid w:val="00EF2882"/>
    <w:rsid w:val="00EF288F"/>
    <w:rsid w:val="00EF2986"/>
    <w:rsid w:val="00EF29C9"/>
    <w:rsid w:val="00EF2AC7"/>
    <w:rsid w:val="00EF2B2E"/>
    <w:rsid w:val="00EF2B7F"/>
    <w:rsid w:val="00EF2DC4"/>
    <w:rsid w:val="00EF2E74"/>
    <w:rsid w:val="00EF3432"/>
    <w:rsid w:val="00EF3673"/>
    <w:rsid w:val="00EF3A17"/>
    <w:rsid w:val="00EF3B19"/>
    <w:rsid w:val="00EF3BA9"/>
    <w:rsid w:val="00EF3CA6"/>
    <w:rsid w:val="00EF42CD"/>
    <w:rsid w:val="00EF4556"/>
    <w:rsid w:val="00EF4591"/>
    <w:rsid w:val="00EF4616"/>
    <w:rsid w:val="00EF478C"/>
    <w:rsid w:val="00EF47FB"/>
    <w:rsid w:val="00EF4D0B"/>
    <w:rsid w:val="00EF4D1D"/>
    <w:rsid w:val="00EF4D78"/>
    <w:rsid w:val="00EF4ED0"/>
    <w:rsid w:val="00EF4F02"/>
    <w:rsid w:val="00EF5177"/>
    <w:rsid w:val="00EF5FA0"/>
    <w:rsid w:val="00EF5FD5"/>
    <w:rsid w:val="00EF60A7"/>
    <w:rsid w:val="00EF61A0"/>
    <w:rsid w:val="00EF6649"/>
    <w:rsid w:val="00EF6C12"/>
    <w:rsid w:val="00EF6C4B"/>
    <w:rsid w:val="00EF6D6D"/>
    <w:rsid w:val="00EF6EB5"/>
    <w:rsid w:val="00EF6EC6"/>
    <w:rsid w:val="00EF6F03"/>
    <w:rsid w:val="00EF70A1"/>
    <w:rsid w:val="00EF70DC"/>
    <w:rsid w:val="00EF71E9"/>
    <w:rsid w:val="00EF7250"/>
    <w:rsid w:val="00EF7335"/>
    <w:rsid w:val="00EF750B"/>
    <w:rsid w:val="00EF7767"/>
    <w:rsid w:val="00EF78D0"/>
    <w:rsid w:val="00EF7912"/>
    <w:rsid w:val="00EF7B0F"/>
    <w:rsid w:val="00EF7E3E"/>
    <w:rsid w:val="00EF7FDA"/>
    <w:rsid w:val="00F0015E"/>
    <w:rsid w:val="00F005C5"/>
    <w:rsid w:val="00F00693"/>
    <w:rsid w:val="00F00A79"/>
    <w:rsid w:val="00F00E9A"/>
    <w:rsid w:val="00F00FE4"/>
    <w:rsid w:val="00F01454"/>
    <w:rsid w:val="00F015C4"/>
    <w:rsid w:val="00F01670"/>
    <w:rsid w:val="00F017A6"/>
    <w:rsid w:val="00F017FF"/>
    <w:rsid w:val="00F019F2"/>
    <w:rsid w:val="00F01D9B"/>
    <w:rsid w:val="00F01DFA"/>
    <w:rsid w:val="00F02144"/>
    <w:rsid w:val="00F02505"/>
    <w:rsid w:val="00F028F6"/>
    <w:rsid w:val="00F02CE4"/>
    <w:rsid w:val="00F02E73"/>
    <w:rsid w:val="00F02F09"/>
    <w:rsid w:val="00F02F13"/>
    <w:rsid w:val="00F02F6F"/>
    <w:rsid w:val="00F0302E"/>
    <w:rsid w:val="00F03057"/>
    <w:rsid w:val="00F0307E"/>
    <w:rsid w:val="00F031C3"/>
    <w:rsid w:val="00F0343F"/>
    <w:rsid w:val="00F035BD"/>
    <w:rsid w:val="00F03815"/>
    <w:rsid w:val="00F03882"/>
    <w:rsid w:val="00F0391B"/>
    <w:rsid w:val="00F03B41"/>
    <w:rsid w:val="00F03F95"/>
    <w:rsid w:val="00F03FFE"/>
    <w:rsid w:val="00F04118"/>
    <w:rsid w:val="00F0418E"/>
    <w:rsid w:val="00F04234"/>
    <w:rsid w:val="00F04253"/>
    <w:rsid w:val="00F043D5"/>
    <w:rsid w:val="00F04625"/>
    <w:rsid w:val="00F04802"/>
    <w:rsid w:val="00F0526F"/>
    <w:rsid w:val="00F0531B"/>
    <w:rsid w:val="00F057C9"/>
    <w:rsid w:val="00F0583B"/>
    <w:rsid w:val="00F05842"/>
    <w:rsid w:val="00F0599B"/>
    <w:rsid w:val="00F05AA3"/>
    <w:rsid w:val="00F05B60"/>
    <w:rsid w:val="00F05C48"/>
    <w:rsid w:val="00F05C9F"/>
    <w:rsid w:val="00F05E7E"/>
    <w:rsid w:val="00F06229"/>
    <w:rsid w:val="00F06257"/>
    <w:rsid w:val="00F06307"/>
    <w:rsid w:val="00F067A7"/>
    <w:rsid w:val="00F06A7B"/>
    <w:rsid w:val="00F06F10"/>
    <w:rsid w:val="00F0704F"/>
    <w:rsid w:val="00F073D9"/>
    <w:rsid w:val="00F074E3"/>
    <w:rsid w:val="00F07965"/>
    <w:rsid w:val="00F07D9E"/>
    <w:rsid w:val="00F100A3"/>
    <w:rsid w:val="00F100B1"/>
    <w:rsid w:val="00F100DB"/>
    <w:rsid w:val="00F102E9"/>
    <w:rsid w:val="00F10344"/>
    <w:rsid w:val="00F1068E"/>
    <w:rsid w:val="00F1076E"/>
    <w:rsid w:val="00F10C5A"/>
    <w:rsid w:val="00F10C6E"/>
    <w:rsid w:val="00F10D32"/>
    <w:rsid w:val="00F10DF7"/>
    <w:rsid w:val="00F10E06"/>
    <w:rsid w:val="00F11188"/>
    <w:rsid w:val="00F111DB"/>
    <w:rsid w:val="00F1127F"/>
    <w:rsid w:val="00F11350"/>
    <w:rsid w:val="00F11631"/>
    <w:rsid w:val="00F11704"/>
    <w:rsid w:val="00F11E02"/>
    <w:rsid w:val="00F11E09"/>
    <w:rsid w:val="00F11EF8"/>
    <w:rsid w:val="00F12103"/>
    <w:rsid w:val="00F125BB"/>
    <w:rsid w:val="00F125BC"/>
    <w:rsid w:val="00F129CD"/>
    <w:rsid w:val="00F12A17"/>
    <w:rsid w:val="00F12B3D"/>
    <w:rsid w:val="00F12BB9"/>
    <w:rsid w:val="00F12D67"/>
    <w:rsid w:val="00F12DF8"/>
    <w:rsid w:val="00F12E4B"/>
    <w:rsid w:val="00F12EC1"/>
    <w:rsid w:val="00F1339D"/>
    <w:rsid w:val="00F13585"/>
    <w:rsid w:val="00F137EA"/>
    <w:rsid w:val="00F13823"/>
    <w:rsid w:val="00F13861"/>
    <w:rsid w:val="00F13C9B"/>
    <w:rsid w:val="00F13D2E"/>
    <w:rsid w:val="00F13E90"/>
    <w:rsid w:val="00F13FDC"/>
    <w:rsid w:val="00F1401E"/>
    <w:rsid w:val="00F140E6"/>
    <w:rsid w:val="00F14806"/>
    <w:rsid w:val="00F14DF4"/>
    <w:rsid w:val="00F150FE"/>
    <w:rsid w:val="00F15168"/>
    <w:rsid w:val="00F15251"/>
    <w:rsid w:val="00F156DE"/>
    <w:rsid w:val="00F157B3"/>
    <w:rsid w:val="00F15992"/>
    <w:rsid w:val="00F15B19"/>
    <w:rsid w:val="00F15D94"/>
    <w:rsid w:val="00F15ED4"/>
    <w:rsid w:val="00F16191"/>
    <w:rsid w:val="00F16259"/>
    <w:rsid w:val="00F16616"/>
    <w:rsid w:val="00F169B5"/>
    <w:rsid w:val="00F17151"/>
    <w:rsid w:val="00F17255"/>
    <w:rsid w:val="00F1743C"/>
    <w:rsid w:val="00F1747F"/>
    <w:rsid w:val="00F174F8"/>
    <w:rsid w:val="00F1782F"/>
    <w:rsid w:val="00F17994"/>
    <w:rsid w:val="00F179C2"/>
    <w:rsid w:val="00F17BBF"/>
    <w:rsid w:val="00F17C92"/>
    <w:rsid w:val="00F17CEA"/>
    <w:rsid w:val="00F17DC6"/>
    <w:rsid w:val="00F17DEA"/>
    <w:rsid w:val="00F17E65"/>
    <w:rsid w:val="00F17EB9"/>
    <w:rsid w:val="00F17F1D"/>
    <w:rsid w:val="00F20251"/>
    <w:rsid w:val="00F20253"/>
    <w:rsid w:val="00F203EC"/>
    <w:rsid w:val="00F20635"/>
    <w:rsid w:val="00F2078E"/>
    <w:rsid w:val="00F2087F"/>
    <w:rsid w:val="00F208E7"/>
    <w:rsid w:val="00F2090F"/>
    <w:rsid w:val="00F20BA4"/>
    <w:rsid w:val="00F20C51"/>
    <w:rsid w:val="00F20D9D"/>
    <w:rsid w:val="00F20F28"/>
    <w:rsid w:val="00F212D9"/>
    <w:rsid w:val="00F21668"/>
    <w:rsid w:val="00F21979"/>
    <w:rsid w:val="00F21A44"/>
    <w:rsid w:val="00F21B41"/>
    <w:rsid w:val="00F22147"/>
    <w:rsid w:val="00F22161"/>
    <w:rsid w:val="00F221FF"/>
    <w:rsid w:val="00F222A2"/>
    <w:rsid w:val="00F22563"/>
    <w:rsid w:val="00F2262B"/>
    <w:rsid w:val="00F228AD"/>
    <w:rsid w:val="00F22C3E"/>
    <w:rsid w:val="00F22E63"/>
    <w:rsid w:val="00F22F42"/>
    <w:rsid w:val="00F233DA"/>
    <w:rsid w:val="00F233EA"/>
    <w:rsid w:val="00F2349B"/>
    <w:rsid w:val="00F234F8"/>
    <w:rsid w:val="00F2362A"/>
    <w:rsid w:val="00F237B4"/>
    <w:rsid w:val="00F23845"/>
    <w:rsid w:val="00F23925"/>
    <w:rsid w:val="00F23A68"/>
    <w:rsid w:val="00F23BFB"/>
    <w:rsid w:val="00F24005"/>
    <w:rsid w:val="00F2413F"/>
    <w:rsid w:val="00F24253"/>
    <w:rsid w:val="00F243D8"/>
    <w:rsid w:val="00F245DB"/>
    <w:rsid w:val="00F2462F"/>
    <w:rsid w:val="00F24701"/>
    <w:rsid w:val="00F24708"/>
    <w:rsid w:val="00F249DC"/>
    <w:rsid w:val="00F24A2B"/>
    <w:rsid w:val="00F24B9C"/>
    <w:rsid w:val="00F24BB1"/>
    <w:rsid w:val="00F24C8D"/>
    <w:rsid w:val="00F24CD3"/>
    <w:rsid w:val="00F250AF"/>
    <w:rsid w:val="00F258D0"/>
    <w:rsid w:val="00F25B83"/>
    <w:rsid w:val="00F25F5C"/>
    <w:rsid w:val="00F25F74"/>
    <w:rsid w:val="00F25FBD"/>
    <w:rsid w:val="00F261F6"/>
    <w:rsid w:val="00F26272"/>
    <w:rsid w:val="00F2639F"/>
    <w:rsid w:val="00F26624"/>
    <w:rsid w:val="00F268A1"/>
    <w:rsid w:val="00F26A21"/>
    <w:rsid w:val="00F26A45"/>
    <w:rsid w:val="00F26AA6"/>
    <w:rsid w:val="00F26C41"/>
    <w:rsid w:val="00F26CD3"/>
    <w:rsid w:val="00F26DCD"/>
    <w:rsid w:val="00F26E4C"/>
    <w:rsid w:val="00F274B0"/>
    <w:rsid w:val="00F2760C"/>
    <w:rsid w:val="00F2783C"/>
    <w:rsid w:val="00F27885"/>
    <w:rsid w:val="00F27891"/>
    <w:rsid w:val="00F27A19"/>
    <w:rsid w:val="00F27CDA"/>
    <w:rsid w:val="00F27E9F"/>
    <w:rsid w:val="00F30367"/>
    <w:rsid w:val="00F30407"/>
    <w:rsid w:val="00F30644"/>
    <w:rsid w:val="00F30657"/>
    <w:rsid w:val="00F30A1B"/>
    <w:rsid w:val="00F30B11"/>
    <w:rsid w:val="00F30F43"/>
    <w:rsid w:val="00F31054"/>
    <w:rsid w:val="00F310BE"/>
    <w:rsid w:val="00F312AA"/>
    <w:rsid w:val="00F3144B"/>
    <w:rsid w:val="00F314EC"/>
    <w:rsid w:val="00F3171E"/>
    <w:rsid w:val="00F317C9"/>
    <w:rsid w:val="00F31EB6"/>
    <w:rsid w:val="00F3224F"/>
    <w:rsid w:val="00F3234E"/>
    <w:rsid w:val="00F323A7"/>
    <w:rsid w:val="00F324D3"/>
    <w:rsid w:val="00F3266F"/>
    <w:rsid w:val="00F329C9"/>
    <w:rsid w:val="00F32B32"/>
    <w:rsid w:val="00F32B9B"/>
    <w:rsid w:val="00F32C43"/>
    <w:rsid w:val="00F333A3"/>
    <w:rsid w:val="00F337F7"/>
    <w:rsid w:val="00F33F24"/>
    <w:rsid w:val="00F33F39"/>
    <w:rsid w:val="00F33FE1"/>
    <w:rsid w:val="00F340B1"/>
    <w:rsid w:val="00F340E9"/>
    <w:rsid w:val="00F3413D"/>
    <w:rsid w:val="00F34591"/>
    <w:rsid w:val="00F34BA2"/>
    <w:rsid w:val="00F34C60"/>
    <w:rsid w:val="00F350FD"/>
    <w:rsid w:val="00F354F0"/>
    <w:rsid w:val="00F35896"/>
    <w:rsid w:val="00F359E3"/>
    <w:rsid w:val="00F35AEA"/>
    <w:rsid w:val="00F35B2F"/>
    <w:rsid w:val="00F35F82"/>
    <w:rsid w:val="00F35FFA"/>
    <w:rsid w:val="00F3619E"/>
    <w:rsid w:val="00F36493"/>
    <w:rsid w:val="00F369C6"/>
    <w:rsid w:val="00F36A14"/>
    <w:rsid w:val="00F36AF4"/>
    <w:rsid w:val="00F36D06"/>
    <w:rsid w:val="00F36DB8"/>
    <w:rsid w:val="00F36E64"/>
    <w:rsid w:val="00F372C2"/>
    <w:rsid w:val="00F37348"/>
    <w:rsid w:val="00F37483"/>
    <w:rsid w:val="00F377A2"/>
    <w:rsid w:val="00F37A83"/>
    <w:rsid w:val="00F37C21"/>
    <w:rsid w:val="00F37CC6"/>
    <w:rsid w:val="00F37D0C"/>
    <w:rsid w:val="00F37D5A"/>
    <w:rsid w:val="00F37EFB"/>
    <w:rsid w:val="00F4010A"/>
    <w:rsid w:val="00F4023D"/>
    <w:rsid w:val="00F402B5"/>
    <w:rsid w:val="00F405FB"/>
    <w:rsid w:val="00F40739"/>
    <w:rsid w:val="00F4086C"/>
    <w:rsid w:val="00F408A9"/>
    <w:rsid w:val="00F40BDB"/>
    <w:rsid w:val="00F40D0B"/>
    <w:rsid w:val="00F40F2E"/>
    <w:rsid w:val="00F41341"/>
    <w:rsid w:val="00F4138B"/>
    <w:rsid w:val="00F4155A"/>
    <w:rsid w:val="00F41981"/>
    <w:rsid w:val="00F41A08"/>
    <w:rsid w:val="00F41D88"/>
    <w:rsid w:val="00F41FDB"/>
    <w:rsid w:val="00F4208B"/>
    <w:rsid w:val="00F42135"/>
    <w:rsid w:val="00F422F7"/>
    <w:rsid w:val="00F423DB"/>
    <w:rsid w:val="00F426E4"/>
    <w:rsid w:val="00F4286F"/>
    <w:rsid w:val="00F42A6F"/>
    <w:rsid w:val="00F42C35"/>
    <w:rsid w:val="00F42F90"/>
    <w:rsid w:val="00F43069"/>
    <w:rsid w:val="00F4315D"/>
    <w:rsid w:val="00F434EA"/>
    <w:rsid w:val="00F4354B"/>
    <w:rsid w:val="00F43596"/>
    <w:rsid w:val="00F43619"/>
    <w:rsid w:val="00F4374C"/>
    <w:rsid w:val="00F437B8"/>
    <w:rsid w:val="00F43A6B"/>
    <w:rsid w:val="00F43AC9"/>
    <w:rsid w:val="00F43FA9"/>
    <w:rsid w:val="00F4423E"/>
    <w:rsid w:val="00F44322"/>
    <w:rsid w:val="00F44597"/>
    <w:rsid w:val="00F44783"/>
    <w:rsid w:val="00F44A20"/>
    <w:rsid w:val="00F44DAE"/>
    <w:rsid w:val="00F44DC7"/>
    <w:rsid w:val="00F459BC"/>
    <w:rsid w:val="00F45A5B"/>
    <w:rsid w:val="00F45DB4"/>
    <w:rsid w:val="00F45E67"/>
    <w:rsid w:val="00F4621A"/>
    <w:rsid w:val="00F462E1"/>
    <w:rsid w:val="00F4658B"/>
    <w:rsid w:val="00F46A63"/>
    <w:rsid w:val="00F46C6E"/>
    <w:rsid w:val="00F46E05"/>
    <w:rsid w:val="00F46E9F"/>
    <w:rsid w:val="00F46EF0"/>
    <w:rsid w:val="00F472E8"/>
    <w:rsid w:val="00F47596"/>
    <w:rsid w:val="00F47BCE"/>
    <w:rsid w:val="00F47C98"/>
    <w:rsid w:val="00F47CAE"/>
    <w:rsid w:val="00F47D64"/>
    <w:rsid w:val="00F47D78"/>
    <w:rsid w:val="00F50064"/>
    <w:rsid w:val="00F5020F"/>
    <w:rsid w:val="00F50252"/>
    <w:rsid w:val="00F50523"/>
    <w:rsid w:val="00F505CC"/>
    <w:rsid w:val="00F5066F"/>
    <w:rsid w:val="00F506D3"/>
    <w:rsid w:val="00F50B55"/>
    <w:rsid w:val="00F50E5A"/>
    <w:rsid w:val="00F5119E"/>
    <w:rsid w:val="00F5131B"/>
    <w:rsid w:val="00F513A4"/>
    <w:rsid w:val="00F516C4"/>
    <w:rsid w:val="00F5179C"/>
    <w:rsid w:val="00F5185B"/>
    <w:rsid w:val="00F51DC0"/>
    <w:rsid w:val="00F52066"/>
    <w:rsid w:val="00F520BF"/>
    <w:rsid w:val="00F520E3"/>
    <w:rsid w:val="00F52151"/>
    <w:rsid w:val="00F5265E"/>
    <w:rsid w:val="00F52790"/>
    <w:rsid w:val="00F5289F"/>
    <w:rsid w:val="00F52DFF"/>
    <w:rsid w:val="00F52F40"/>
    <w:rsid w:val="00F52FF3"/>
    <w:rsid w:val="00F53561"/>
    <w:rsid w:val="00F53E33"/>
    <w:rsid w:val="00F53FE6"/>
    <w:rsid w:val="00F541C5"/>
    <w:rsid w:val="00F542A5"/>
    <w:rsid w:val="00F5444B"/>
    <w:rsid w:val="00F5462A"/>
    <w:rsid w:val="00F546F2"/>
    <w:rsid w:val="00F547F4"/>
    <w:rsid w:val="00F548FD"/>
    <w:rsid w:val="00F54FB7"/>
    <w:rsid w:val="00F54FDC"/>
    <w:rsid w:val="00F5505F"/>
    <w:rsid w:val="00F55088"/>
    <w:rsid w:val="00F550A7"/>
    <w:rsid w:val="00F552FA"/>
    <w:rsid w:val="00F55385"/>
    <w:rsid w:val="00F553F5"/>
    <w:rsid w:val="00F556A4"/>
    <w:rsid w:val="00F556E7"/>
    <w:rsid w:val="00F557AA"/>
    <w:rsid w:val="00F55820"/>
    <w:rsid w:val="00F5583B"/>
    <w:rsid w:val="00F5585B"/>
    <w:rsid w:val="00F55AFC"/>
    <w:rsid w:val="00F55EA5"/>
    <w:rsid w:val="00F55EFE"/>
    <w:rsid w:val="00F56020"/>
    <w:rsid w:val="00F56254"/>
    <w:rsid w:val="00F5644D"/>
    <w:rsid w:val="00F56719"/>
    <w:rsid w:val="00F568DD"/>
    <w:rsid w:val="00F56C5C"/>
    <w:rsid w:val="00F570D9"/>
    <w:rsid w:val="00F5723B"/>
    <w:rsid w:val="00F57639"/>
    <w:rsid w:val="00F577D4"/>
    <w:rsid w:val="00F578F9"/>
    <w:rsid w:val="00F57902"/>
    <w:rsid w:val="00F57FB8"/>
    <w:rsid w:val="00F604A8"/>
    <w:rsid w:val="00F60585"/>
    <w:rsid w:val="00F6070B"/>
    <w:rsid w:val="00F60798"/>
    <w:rsid w:val="00F60900"/>
    <w:rsid w:val="00F60B22"/>
    <w:rsid w:val="00F60B4A"/>
    <w:rsid w:val="00F60C19"/>
    <w:rsid w:val="00F60C9F"/>
    <w:rsid w:val="00F60DAD"/>
    <w:rsid w:val="00F60ECA"/>
    <w:rsid w:val="00F61054"/>
    <w:rsid w:val="00F612B2"/>
    <w:rsid w:val="00F6172F"/>
    <w:rsid w:val="00F617A6"/>
    <w:rsid w:val="00F61B1A"/>
    <w:rsid w:val="00F61DC3"/>
    <w:rsid w:val="00F61E91"/>
    <w:rsid w:val="00F61E98"/>
    <w:rsid w:val="00F622D6"/>
    <w:rsid w:val="00F6256D"/>
    <w:rsid w:val="00F62893"/>
    <w:rsid w:val="00F62943"/>
    <w:rsid w:val="00F62956"/>
    <w:rsid w:val="00F6295C"/>
    <w:rsid w:val="00F62A0C"/>
    <w:rsid w:val="00F63299"/>
    <w:rsid w:val="00F63831"/>
    <w:rsid w:val="00F63AD0"/>
    <w:rsid w:val="00F63F17"/>
    <w:rsid w:val="00F641F6"/>
    <w:rsid w:val="00F64257"/>
    <w:rsid w:val="00F64302"/>
    <w:rsid w:val="00F6437A"/>
    <w:rsid w:val="00F64521"/>
    <w:rsid w:val="00F64B65"/>
    <w:rsid w:val="00F64BBC"/>
    <w:rsid w:val="00F64C5A"/>
    <w:rsid w:val="00F64CD4"/>
    <w:rsid w:val="00F6508B"/>
    <w:rsid w:val="00F6519A"/>
    <w:rsid w:val="00F6524E"/>
    <w:rsid w:val="00F653ED"/>
    <w:rsid w:val="00F654A8"/>
    <w:rsid w:val="00F654AD"/>
    <w:rsid w:val="00F65541"/>
    <w:rsid w:val="00F65819"/>
    <w:rsid w:val="00F659C1"/>
    <w:rsid w:val="00F65D39"/>
    <w:rsid w:val="00F65F1C"/>
    <w:rsid w:val="00F65FBF"/>
    <w:rsid w:val="00F65FC4"/>
    <w:rsid w:val="00F6622D"/>
    <w:rsid w:val="00F66A6F"/>
    <w:rsid w:val="00F66CBD"/>
    <w:rsid w:val="00F66E36"/>
    <w:rsid w:val="00F66F6A"/>
    <w:rsid w:val="00F66FC7"/>
    <w:rsid w:val="00F67A19"/>
    <w:rsid w:val="00F67B72"/>
    <w:rsid w:val="00F70131"/>
    <w:rsid w:val="00F7016D"/>
    <w:rsid w:val="00F701C5"/>
    <w:rsid w:val="00F7069C"/>
    <w:rsid w:val="00F70A46"/>
    <w:rsid w:val="00F70B4C"/>
    <w:rsid w:val="00F70E60"/>
    <w:rsid w:val="00F71051"/>
    <w:rsid w:val="00F7124E"/>
    <w:rsid w:val="00F712C3"/>
    <w:rsid w:val="00F71488"/>
    <w:rsid w:val="00F714E3"/>
    <w:rsid w:val="00F715D4"/>
    <w:rsid w:val="00F7165F"/>
    <w:rsid w:val="00F71681"/>
    <w:rsid w:val="00F7180C"/>
    <w:rsid w:val="00F71975"/>
    <w:rsid w:val="00F71C06"/>
    <w:rsid w:val="00F71E83"/>
    <w:rsid w:val="00F7279B"/>
    <w:rsid w:val="00F729F5"/>
    <w:rsid w:val="00F72AA6"/>
    <w:rsid w:val="00F72BF6"/>
    <w:rsid w:val="00F72C9C"/>
    <w:rsid w:val="00F72CCF"/>
    <w:rsid w:val="00F72DB6"/>
    <w:rsid w:val="00F72FA2"/>
    <w:rsid w:val="00F7341B"/>
    <w:rsid w:val="00F739AA"/>
    <w:rsid w:val="00F73A58"/>
    <w:rsid w:val="00F73E95"/>
    <w:rsid w:val="00F740E0"/>
    <w:rsid w:val="00F7410C"/>
    <w:rsid w:val="00F7428D"/>
    <w:rsid w:val="00F745E9"/>
    <w:rsid w:val="00F74D53"/>
    <w:rsid w:val="00F74E5F"/>
    <w:rsid w:val="00F74E9A"/>
    <w:rsid w:val="00F74F47"/>
    <w:rsid w:val="00F74FBF"/>
    <w:rsid w:val="00F7508E"/>
    <w:rsid w:val="00F75945"/>
    <w:rsid w:val="00F75C0E"/>
    <w:rsid w:val="00F760B8"/>
    <w:rsid w:val="00F762D5"/>
    <w:rsid w:val="00F7646C"/>
    <w:rsid w:val="00F7655A"/>
    <w:rsid w:val="00F76678"/>
    <w:rsid w:val="00F76694"/>
    <w:rsid w:val="00F7670B"/>
    <w:rsid w:val="00F76AAC"/>
    <w:rsid w:val="00F76E0F"/>
    <w:rsid w:val="00F76EAD"/>
    <w:rsid w:val="00F76F96"/>
    <w:rsid w:val="00F76FC1"/>
    <w:rsid w:val="00F7735F"/>
    <w:rsid w:val="00F773D5"/>
    <w:rsid w:val="00F77405"/>
    <w:rsid w:val="00F77464"/>
    <w:rsid w:val="00F77B70"/>
    <w:rsid w:val="00F77D3C"/>
    <w:rsid w:val="00F77E03"/>
    <w:rsid w:val="00F77FE0"/>
    <w:rsid w:val="00F80106"/>
    <w:rsid w:val="00F801A3"/>
    <w:rsid w:val="00F80257"/>
    <w:rsid w:val="00F80DDD"/>
    <w:rsid w:val="00F80EEB"/>
    <w:rsid w:val="00F80FBB"/>
    <w:rsid w:val="00F811D1"/>
    <w:rsid w:val="00F81346"/>
    <w:rsid w:val="00F813C3"/>
    <w:rsid w:val="00F81424"/>
    <w:rsid w:val="00F816F4"/>
    <w:rsid w:val="00F81D28"/>
    <w:rsid w:val="00F81E3D"/>
    <w:rsid w:val="00F8322C"/>
    <w:rsid w:val="00F83238"/>
    <w:rsid w:val="00F832CA"/>
    <w:rsid w:val="00F832DA"/>
    <w:rsid w:val="00F8342F"/>
    <w:rsid w:val="00F83901"/>
    <w:rsid w:val="00F839C2"/>
    <w:rsid w:val="00F839CB"/>
    <w:rsid w:val="00F83CAE"/>
    <w:rsid w:val="00F83D17"/>
    <w:rsid w:val="00F840CE"/>
    <w:rsid w:val="00F840FE"/>
    <w:rsid w:val="00F841F9"/>
    <w:rsid w:val="00F845EB"/>
    <w:rsid w:val="00F84623"/>
    <w:rsid w:val="00F847A6"/>
    <w:rsid w:val="00F84A19"/>
    <w:rsid w:val="00F84A90"/>
    <w:rsid w:val="00F84CB4"/>
    <w:rsid w:val="00F8513A"/>
    <w:rsid w:val="00F857FA"/>
    <w:rsid w:val="00F8587B"/>
    <w:rsid w:val="00F85973"/>
    <w:rsid w:val="00F85E32"/>
    <w:rsid w:val="00F85FAC"/>
    <w:rsid w:val="00F86163"/>
    <w:rsid w:val="00F861A5"/>
    <w:rsid w:val="00F862D7"/>
    <w:rsid w:val="00F864FA"/>
    <w:rsid w:val="00F86C6B"/>
    <w:rsid w:val="00F87068"/>
    <w:rsid w:val="00F871F2"/>
    <w:rsid w:val="00F87258"/>
    <w:rsid w:val="00F8797B"/>
    <w:rsid w:val="00F87986"/>
    <w:rsid w:val="00F87B56"/>
    <w:rsid w:val="00F87E4E"/>
    <w:rsid w:val="00F902E7"/>
    <w:rsid w:val="00F9035C"/>
    <w:rsid w:val="00F90420"/>
    <w:rsid w:val="00F90A6B"/>
    <w:rsid w:val="00F90D27"/>
    <w:rsid w:val="00F90F34"/>
    <w:rsid w:val="00F913A8"/>
    <w:rsid w:val="00F91477"/>
    <w:rsid w:val="00F91C0D"/>
    <w:rsid w:val="00F91CBA"/>
    <w:rsid w:val="00F91CC5"/>
    <w:rsid w:val="00F91D28"/>
    <w:rsid w:val="00F9219F"/>
    <w:rsid w:val="00F929FB"/>
    <w:rsid w:val="00F92C58"/>
    <w:rsid w:val="00F92D2A"/>
    <w:rsid w:val="00F93063"/>
    <w:rsid w:val="00F930ED"/>
    <w:rsid w:val="00F933E6"/>
    <w:rsid w:val="00F93733"/>
    <w:rsid w:val="00F9392F"/>
    <w:rsid w:val="00F94419"/>
    <w:rsid w:val="00F94438"/>
    <w:rsid w:val="00F945E1"/>
    <w:rsid w:val="00F94820"/>
    <w:rsid w:val="00F94832"/>
    <w:rsid w:val="00F953E8"/>
    <w:rsid w:val="00F95ADC"/>
    <w:rsid w:val="00F95BDA"/>
    <w:rsid w:val="00F95D6F"/>
    <w:rsid w:val="00F9614F"/>
    <w:rsid w:val="00F962D9"/>
    <w:rsid w:val="00F9669C"/>
    <w:rsid w:val="00F9676A"/>
    <w:rsid w:val="00F9698F"/>
    <w:rsid w:val="00F96ADE"/>
    <w:rsid w:val="00F96EF1"/>
    <w:rsid w:val="00F972D6"/>
    <w:rsid w:val="00F974BB"/>
    <w:rsid w:val="00F97546"/>
    <w:rsid w:val="00F9764B"/>
    <w:rsid w:val="00F97E23"/>
    <w:rsid w:val="00FA0259"/>
    <w:rsid w:val="00FA036E"/>
    <w:rsid w:val="00FA0464"/>
    <w:rsid w:val="00FA0628"/>
    <w:rsid w:val="00FA0787"/>
    <w:rsid w:val="00FA07F5"/>
    <w:rsid w:val="00FA0BEE"/>
    <w:rsid w:val="00FA0E5B"/>
    <w:rsid w:val="00FA1023"/>
    <w:rsid w:val="00FA11C1"/>
    <w:rsid w:val="00FA11EB"/>
    <w:rsid w:val="00FA16C8"/>
    <w:rsid w:val="00FA1DA5"/>
    <w:rsid w:val="00FA1DE5"/>
    <w:rsid w:val="00FA2116"/>
    <w:rsid w:val="00FA2462"/>
    <w:rsid w:val="00FA287E"/>
    <w:rsid w:val="00FA2B4C"/>
    <w:rsid w:val="00FA2DD3"/>
    <w:rsid w:val="00FA2F44"/>
    <w:rsid w:val="00FA30B8"/>
    <w:rsid w:val="00FA3132"/>
    <w:rsid w:val="00FA3297"/>
    <w:rsid w:val="00FA3522"/>
    <w:rsid w:val="00FA3556"/>
    <w:rsid w:val="00FA369B"/>
    <w:rsid w:val="00FA36FC"/>
    <w:rsid w:val="00FA3BDC"/>
    <w:rsid w:val="00FA3D8D"/>
    <w:rsid w:val="00FA3DEF"/>
    <w:rsid w:val="00FA3FB6"/>
    <w:rsid w:val="00FA4777"/>
    <w:rsid w:val="00FA4899"/>
    <w:rsid w:val="00FA4C1F"/>
    <w:rsid w:val="00FA4C8A"/>
    <w:rsid w:val="00FA4D8A"/>
    <w:rsid w:val="00FA4EAB"/>
    <w:rsid w:val="00FA52FF"/>
    <w:rsid w:val="00FA5416"/>
    <w:rsid w:val="00FA587A"/>
    <w:rsid w:val="00FA5D07"/>
    <w:rsid w:val="00FA5FE0"/>
    <w:rsid w:val="00FA6016"/>
    <w:rsid w:val="00FA601D"/>
    <w:rsid w:val="00FA62C1"/>
    <w:rsid w:val="00FA6300"/>
    <w:rsid w:val="00FA6301"/>
    <w:rsid w:val="00FA661B"/>
    <w:rsid w:val="00FA668F"/>
    <w:rsid w:val="00FA6AE5"/>
    <w:rsid w:val="00FA6D29"/>
    <w:rsid w:val="00FA6DF6"/>
    <w:rsid w:val="00FA6F32"/>
    <w:rsid w:val="00FA716A"/>
    <w:rsid w:val="00FA7228"/>
    <w:rsid w:val="00FA722D"/>
    <w:rsid w:val="00FA765B"/>
    <w:rsid w:val="00FA7720"/>
    <w:rsid w:val="00FA7850"/>
    <w:rsid w:val="00FA7B72"/>
    <w:rsid w:val="00FA7F06"/>
    <w:rsid w:val="00FB06B1"/>
    <w:rsid w:val="00FB06BD"/>
    <w:rsid w:val="00FB0805"/>
    <w:rsid w:val="00FB08C3"/>
    <w:rsid w:val="00FB0A4D"/>
    <w:rsid w:val="00FB0AAF"/>
    <w:rsid w:val="00FB0B20"/>
    <w:rsid w:val="00FB0DA4"/>
    <w:rsid w:val="00FB1318"/>
    <w:rsid w:val="00FB15F8"/>
    <w:rsid w:val="00FB168A"/>
    <w:rsid w:val="00FB1722"/>
    <w:rsid w:val="00FB19E2"/>
    <w:rsid w:val="00FB1B76"/>
    <w:rsid w:val="00FB1C2F"/>
    <w:rsid w:val="00FB1FA2"/>
    <w:rsid w:val="00FB1FD2"/>
    <w:rsid w:val="00FB21BE"/>
    <w:rsid w:val="00FB2467"/>
    <w:rsid w:val="00FB24E5"/>
    <w:rsid w:val="00FB27AD"/>
    <w:rsid w:val="00FB2B73"/>
    <w:rsid w:val="00FB2BFC"/>
    <w:rsid w:val="00FB31F3"/>
    <w:rsid w:val="00FB3392"/>
    <w:rsid w:val="00FB3A19"/>
    <w:rsid w:val="00FB414B"/>
    <w:rsid w:val="00FB442F"/>
    <w:rsid w:val="00FB45BE"/>
    <w:rsid w:val="00FB463F"/>
    <w:rsid w:val="00FB4940"/>
    <w:rsid w:val="00FB4962"/>
    <w:rsid w:val="00FB4B6E"/>
    <w:rsid w:val="00FB4CDF"/>
    <w:rsid w:val="00FB4D19"/>
    <w:rsid w:val="00FB4D52"/>
    <w:rsid w:val="00FB5227"/>
    <w:rsid w:val="00FB5230"/>
    <w:rsid w:val="00FB5356"/>
    <w:rsid w:val="00FB53AE"/>
    <w:rsid w:val="00FB543C"/>
    <w:rsid w:val="00FB5703"/>
    <w:rsid w:val="00FB6251"/>
    <w:rsid w:val="00FB629E"/>
    <w:rsid w:val="00FB6355"/>
    <w:rsid w:val="00FB63AE"/>
    <w:rsid w:val="00FB650B"/>
    <w:rsid w:val="00FB6715"/>
    <w:rsid w:val="00FB6823"/>
    <w:rsid w:val="00FB68AB"/>
    <w:rsid w:val="00FB69C9"/>
    <w:rsid w:val="00FB69FC"/>
    <w:rsid w:val="00FB6A60"/>
    <w:rsid w:val="00FB6BB5"/>
    <w:rsid w:val="00FB6FBB"/>
    <w:rsid w:val="00FB6FED"/>
    <w:rsid w:val="00FB771E"/>
    <w:rsid w:val="00FB7814"/>
    <w:rsid w:val="00FB7889"/>
    <w:rsid w:val="00FB7BDA"/>
    <w:rsid w:val="00FB7C08"/>
    <w:rsid w:val="00FB7E27"/>
    <w:rsid w:val="00FB7FC8"/>
    <w:rsid w:val="00FC0719"/>
    <w:rsid w:val="00FC0889"/>
    <w:rsid w:val="00FC0C09"/>
    <w:rsid w:val="00FC0D7C"/>
    <w:rsid w:val="00FC0F05"/>
    <w:rsid w:val="00FC0FD3"/>
    <w:rsid w:val="00FC1182"/>
    <w:rsid w:val="00FC130A"/>
    <w:rsid w:val="00FC167C"/>
    <w:rsid w:val="00FC1A04"/>
    <w:rsid w:val="00FC1B29"/>
    <w:rsid w:val="00FC1C47"/>
    <w:rsid w:val="00FC1DBC"/>
    <w:rsid w:val="00FC1E81"/>
    <w:rsid w:val="00FC2136"/>
    <w:rsid w:val="00FC2184"/>
    <w:rsid w:val="00FC22E1"/>
    <w:rsid w:val="00FC24FD"/>
    <w:rsid w:val="00FC2B23"/>
    <w:rsid w:val="00FC2C7E"/>
    <w:rsid w:val="00FC2D33"/>
    <w:rsid w:val="00FC2EF4"/>
    <w:rsid w:val="00FC2F65"/>
    <w:rsid w:val="00FC2FB0"/>
    <w:rsid w:val="00FC320E"/>
    <w:rsid w:val="00FC334B"/>
    <w:rsid w:val="00FC3405"/>
    <w:rsid w:val="00FC3C2F"/>
    <w:rsid w:val="00FC3D66"/>
    <w:rsid w:val="00FC4125"/>
    <w:rsid w:val="00FC41AA"/>
    <w:rsid w:val="00FC420E"/>
    <w:rsid w:val="00FC4350"/>
    <w:rsid w:val="00FC4461"/>
    <w:rsid w:val="00FC4901"/>
    <w:rsid w:val="00FC4A45"/>
    <w:rsid w:val="00FC4BF3"/>
    <w:rsid w:val="00FC4CDA"/>
    <w:rsid w:val="00FC4CE2"/>
    <w:rsid w:val="00FC4DBE"/>
    <w:rsid w:val="00FC4DFD"/>
    <w:rsid w:val="00FC506B"/>
    <w:rsid w:val="00FC511A"/>
    <w:rsid w:val="00FC513D"/>
    <w:rsid w:val="00FC53A9"/>
    <w:rsid w:val="00FC56E7"/>
    <w:rsid w:val="00FC58A6"/>
    <w:rsid w:val="00FC5B38"/>
    <w:rsid w:val="00FC5CCD"/>
    <w:rsid w:val="00FC6038"/>
    <w:rsid w:val="00FC6144"/>
    <w:rsid w:val="00FC630E"/>
    <w:rsid w:val="00FC6668"/>
    <w:rsid w:val="00FC67A1"/>
    <w:rsid w:val="00FC69F8"/>
    <w:rsid w:val="00FC6B2F"/>
    <w:rsid w:val="00FC6E4E"/>
    <w:rsid w:val="00FC6E58"/>
    <w:rsid w:val="00FC75B1"/>
    <w:rsid w:val="00FC7F5C"/>
    <w:rsid w:val="00FD0097"/>
    <w:rsid w:val="00FD0142"/>
    <w:rsid w:val="00FD0321"/>
    <w:rsid w:val="00FD06CD"/>
    <w:rsid w:val="00FD08BA"/>
    <w:rsid w:val="00FD0C06"/>
    <w:rsid w:val="00FD0DDE"/>
    <w:rsid w:val="00FD0EE3"/>
    <w:rsid w:val="00FD1118"/>
    <w:rsid w:val="00FD1573"/>
    <w:rsid w:val="00FD1774"/>
    <w:rsid w:val="00FD1A5A"/>
    <w:rsid w:val="00FD1C6C"/>
    <w:rsid w:val="00FD1E7E"/>
    <w:rsid w:val="00FD1E81"/>
    <w:rsid w:val="00FD1FEE"/>
    <w:rsid w:val="00FD203A"/>
    <w:rsid w:val="00FD23E4"/>
    <w:rsid w:val="00FD2502"/>
    <w:rsid w:val="00FD2508"/>
    <w:rsid w:val="00FD2598"/>
    <w:rsid w:val="00FD2619"/>
    <w:rsid w:val="00FD28DB"/>
    <w:rsid w:val="00FD2910"/>
    <w:rsid w:val="00FD2A8B"/>
    <w:rsid w:val="00FD2B4D"/>
    <w:rsid w:val="00FD3064"/>
    <w:rsid w:val="00FD3432"/>
    <w:rsid w:val="00FD346A"/>
    <w:rsid w:val="00FD379D"/>
    <w:rsid w:val="00FD3984"/>
    <w:rsid w:val="00FD39B1"/>
    <w:rsid w:val="00FD3ACB"/>
    <w:rsid w:val="00FD3CDB"/>
    <w:rsid w:val="00FD3CE6"/>
    <w:rsid w:val="00FD40E2"/>
    <w:rsid w:val="00FD4573"/>
    <w:rsid w:val="00FD4A84"/>
    <w:rsid w:val="00FD4ADC"/>
    <w:rsid w:val="00FD4B99"/>
    <w:rsid w:val="00FD4BD8"/>
    <w:rsid w:val="00FD4E1F"/>
    <w:rsid w:val="00FD4FBA"/>
    <w:rsid w:val="00FD5086"/>
    <w:rsid w:val="00FD5C4A"/>
    <w:rsid w:val="00FD5F10"/>
    <w:rsid w:val="00FD5F7C"/>
    <w:rsid w:val="00FD6244"/>
    <w:rsid w:val="00FD639C"/>
    <w:rsid w:val="00FD6ED8"/>
    <w:rsid w:val="00FD6F47"/>
    <w:rsid w:val="00FD6F75"/>
    <w:rsid w:val="00FD7073"/>
    <w:rsid w:val="00FD7112"/>
    <w:rsid w:val="00FD7121"/>
    <w:rsid w:val="00FD7173"/>
    <w:rsid w:val="00FD73CF"/>
    <w:rsid w:val="00FD7573"/>
    <w:rsid w:val="00FD79E0"/>
    <w:rsid w:val="00FD7A82"/>
    <w:rsid w:val="00FD7DAC"/>
    <w:rsid w:val="00FD7EB7"/>
    <w:rsid w:val="00FD7FA1"/>
    <w:rsid w:val="00FE03DE"/>
    <w:rsid w:val="00FE0459"/>
    <w:rsid w:val="00FE07A2"/>
    <w:rsid w:val="00FE09BA"/>
    <w:rsid w:val="00FE0AD3"/>
    <w:rsid w:val="00FE0B4E"/>
    <w:rsid w:val="00FE0D89"/>
    <w:rsid w:val="00FE1001"/>
    <w:rsid w:val="00FE1386"/>
    <w:rsid w:val="00FE16BA"/>
    <w:rsid w:val="00FE1713"/>
    <w:rsid w:val="00FE1823"/>
    <w:rsid w:val="00FE19DE"/>
    <w:rsid w:val="00FE1F44"/>
    <w:rsid w:val="00FE1FCC"/>
    <w:rsid w:val="00FE2083"/>
    <w:rsid w:val="00FE20B5"/>
    <w:rsid w:val="00FE2444"/>
    <w:rsid w:val="00FE27C4"/>
    <w:rsid w:val="00FE2A47"/>
    <w:rsid w:val="00FE2CF5"/>
    <w:rsid w:val="00FE2DBB"/>
    <w:rsid w:val="00FE3626"/>
    <w:rsid w:val="00FE3631"/>
    <w:rsid w:val="00FE37C1"/>
    <w:rsid w:val="00FE37E7"/>
    <w:rsid w:val="00FE3840"/>
    <w:rsid w:val="00FE3970"/>
    <w:rsid w:val="00FE3CBE"/>
    <w:rsid w:val="00FE42AA"/>
    <w:rsid w:val="00FE4460"/>
    <w:rsid w:val="00FE4664"/>
    <w:rsid w:val="00FE483D"/>
    <w:rsid w:val="00FE48A6"/>
    <w:rsid w:val="00FE4957"/>
    <w:rsid w:val="00FE4AD4"/>
    <w:rsid w:val="00FE4CCA"/>
    <w:rsid w:val="00FE5140"/>
    <w:rsid w:val="00FE55DC"/>
    <w:rsid w:val="00FE57B1"/>
    <w:rsid w:val="00FE5B54"/>
    <w:rsid w:val="00FE5DC2"/>
    <w:rsid w:val="00FE6114"/>
    <w:rsid w:val="00FE68F4"/>
    <w:rsid w:val="00FE6C7B"/>
    <w:rsid w:val="00FE6DE1"/>
    <w:rsid w:val="00FE6FCB"/>
    <w:rsid w:val="00FE719A"/>
    <w:rsid w:val="00FE7321"/>
    <w:rsid w:val="00FE7566"/>
    <w:rsid w:val="00FE7870"/>
    <w:rsid w:val="00FE78C5"/>
    <w:rsid w:val="00FE791B"/>
    <w:rsid w:val="00FE7FC0"/>
    <w:rsid w:val="00FF00A2"/>
    <w:rsid w:val="00FF00DB"/>
    <w:rsid w:val="00FF026D"/>
    <w:rsid w:val="00FF064E"/>
    <w:rsid w:val="00FF08A5"/>
    <w:rsid w:val="00FF0B09"/>
    <w:rsid w:val="00FF0C91"/>
    <w:rsid w:val="00FF0D56"/>
    <w:rsid w:val="00FF11CD"/>
    <w:rsid w:val="00FF1352"/>
    <w:rsid w:val="00FF13B7"/>
    <w:rsid w:val="00FF13E8"/>
    <w:rsid w:val="00FF141D"/>
    <w:rsid w:val="00FF16CA"/>
    <w:rsid w:val="00FF19D5"/>
    <w:rsid w:val="00FF2121"/>
    <w:rsid w:val="00FF21B3"/>
    <w:rsid w:val="00FF23B3"/>
    <w:rsid w:val="00FF2454"/>
    <w:rsid w:val="00FF2486"/>
    <w:rsid w:val="00FF254C"/>
    <w:rsid w:val="00FF2BED"/>
    <w:rsid w:val="00FF2C96"/>
    <w:rsid w:val="00FF2D34"/>
    <w:rsid w:val="00FF3054"/>
    <w:rsid w:val="00FF30A0"/>
    <w:rsid w:val="00FF32F6"/>
    <w:rsid w:val="00FF3375"/>
    <w:rsid w:val="00FF33AE"/>
    <w:rsid w:val="00FF3539"/>
    <w:rsid w:val="00FF35A6"/>
    <w:rsid w:val="00FF3819"/>
    <w:rsid w:val="00FF38B7"/>
    <w:rsid w:val="00FF3A00"/>
    <w:rsid w:val="00FF3A3C"/>
    <w:rsid w:val="00FF3B32"/>
    <w:rsid w:val="00FF3DED"/>
    <w:rsid w:val="00FF4360"/>
    <w:rsid w:val="00FF452A"/>
    <w:rsid w:val="00FF45E4"/>
    <w:rsid w:val="00FF494A"/>
    <w:rsid w:val="00FF4B12"/>
    <w:rsid w:val="00FF4B9A"/>
    <w:rsid w:val="00FF4BB0"/>
    <w:rsid w:val="00FF4D87"/>
    <w:rsid w:val="00FF5497"/>
    <w:rsid w:val="00FF553D"/>
    <w:rsid w:val="00FF557D"/>
    <w:rsid w:val="00FF58C1"/>
    <w:rsid w:val="00FF5B7E"/>
    <w:rsid w:val="00FF5C47"/>
    <w:rsid w:val="00FF5C7A"/>
    <w:rsid w:val="00FF5E75"/>
    <w:rsid w:val="00FF6017"/>
    <w:rsid w:val="00FF6208"/>
    <w:rsid w:val="00FF62A0"/>
    <w:rsid w:val="00FF6A4C"/>
    <w:rsid w:val="00FF6C46"/>
    <w:rsid w:val="00FF6C6F"/>
    <w:rsid w:val="00FF6C81"/>
    <w:rsid w:val="00FF71C0"/>
    <w:rsid w:val="00FF7205"/>
    <w:rsid w:val="00FF72E8"/>
    <w:rsid w:val="00FF7485"/>
    <w:rsid w:val="00FF75C7"/>
    <w:rsid w:val="00FF7743"/>
    <w:rsid w:val="00FF77D4"/>
    <w:rsid w:val="00FF7982"/>
    <w:rsid w:val="00FF7A83"/>
    <w:rsid w:val="00FF7D3B"/>
    <w:rsid w:val="00FF7DC1"/>
    <w:rsid w:val="00FF7DC2"/>
    <w:rsid w:val="00FF7E38"/>
    <w:rsid w:val="01601E0B"/>
    <w:rsid w:val="016722DB"/>
    <w:rsid w:val="022D1BCE"/>
    <w:rsid w:val="02A76009"/>
    <w:rsid w:val="02B93DB4"/>
    <w:rsid w:val="02E40E2D"/>
    <w:rsid w:val="038247D1"/>
    <w:rsid w:val="03A73B6D"/>
    <w:rsid w:val="03CA29C7"/>
    <w:rsid w:val="043B0040"/>
    <w:rsid w:val="04D01847"/>
    <w:rsid w:val="067402D4"/>
    <w:rsid w:val="06D76DC6"/>
    <w:rsid w:val="07171DAE"/>
    <w:rsid w:val="07672E32"/>
    <w:rsid w:val="076B1838"/>
    <w:rsid w:val="076F1EF9"/>
    <w:rsid w:val="07701903"/>
    <w:rsid w:val="07A36727"/>
    <w:rsid w:val="0A0E788E"/>
    <w:rsid w:val="0A4F60F9"/>
    <w:rsid w:val="0A9D3C79"/>
    <w:rsid w:val="0B701A53"/>
    <w:rsid w:val="0C30660E"/>
    <w:rsid w:val="0C42538D"/>
    <w:rsid w:val="0CCC1735"/>
    <w:rsid w:val="0CD222FA"/>
    <w:rsid w:val="0D2D0F6D"/>
    <w:rsid w:val="0D71793F"/>
    <w:rsid w:val="0E364041"/>
    <w:rsid w:val="0EB314FC"/>
    <w:rsid w:val="0EB51830"/>
    <w:rsid w:val="0ED2335F"/>
    <w:rsid w:val="0FA43665"/>
    <w:rsid w:val="0FC53BEC"/>
    <w:rsid w:val="0FC84B70"/>
    <w:rsid w:val="10247488"/>
    <w:rsid w:val="10E070BB"/>
    <w:rsid w:val="12A44024"/>
    <w:rsid w:val="133F1BE6"/>
    <w:rsid w:val="13542B43"/>
    <w:rsid w:val="14114DE1"/>
    <w:rsid w:val="141539BD"/>
    <w:rsid w:val="14AA7BD8"/>
    <w:rsid w:val="14D137E2"/>
    <w:rsid w:val="14E1232E"/>
    <w:rsid w:val="15465B04"/>
    <w:rsid w:val="166647AE"/>
    <w:rsid w:val="16C23AE4"/>
    <w:rsid w:val="17023281"/>
    <w:rsid w:val="170768D4"/>
    <w:rsid w:val="1762744C"/>
    <w:rsid w:val="18001FEB"/>
    <w:rsid w:val="1812470B"/>
    <w:rsid w:val="18197E09"/>
    <w:rsid w:val="18273863"/>
    <w:rsid w:val="184C0CDA"/>
    <w:rsid w:val="19491152"/>
    <w:rsid w:val="1A4B23D7"/>
    <w:rsid w:val="1A9B5D0C"/>
    <w:rsid w:val="1B487750"/>
    <w:rsid w:val="1B4E745B"/>
    <w:rsid w:val="1BBC0A0D"/>
    <w:rsid w:val="1BF70C55"/>
    <w:rsid w:val="1C6D719E"/>
    <w:rsid w:val="1C850B4C"/>
    <w:rsid w:val="1C857158"/>
    <w:rsid w:val="1D181F4A"/>
    <w:rsid w:val="1D352E28"/>
    <w:rsid w:val="1D5F1C7E"/>
    <w:rsid w:val="1D6F0C96"/>
    <w:rsid w:val="1E00770A"/>
    <w:rsid w:val="1EA768EC"/>
    <w:rsid w:val="1F100F5F"/>
    <w:rsid w:val="209059F9"/>
    <w:rsid w:val="21096795"/>
    <w:rsid w:val="213B5E92"/>
    <w:rsid w:val="21C44322"/>
    <w:rsid w:val="21DA1AFF"/>
    <w:rsid w:val="22510EDE"/>
    <w:rsid w:val="241F55D2"/>
    <w:rsid w:val="24E33795"/>
    <w:rsid w:val="258B79C3"/>
    <w:rsid w:val="258E6DA6"/>
    <w:rsid w:val="269B1BDC"/>
    <w:rsid w:val="26D30EDA"/>
    <w:rsid w:val="275A1C1F"/>
    <w:rsid w:val="27762449"/>
    <w:rsid w:val="27BD063F"/>
    <w:rsid w:val="27FE352F"/>
    <w:rsid w:val="28FF3D66"/>
    <w:rsid w:val="29360E2F"/>
    <w:rsid w:val="2A1E4926"/>
    <w:rsid w:val="2A621B97"/>
    <w:rsid w:val="2ACD189D"/>
    <w:rsid w:val="2AEB3F88"/>
    <w:rsid w:val="2B486992"/>
    <w:rsid w:val="2B7D5B67"/>
    <w:rsid w:val="2C696A69"/>
    <w:rsid w:val="2C7C350C"/>
    <w:rsid w:val="2C814110"/>
    <w:rsid w:val="2CFD4D5E"/>
    <w:rsid w:val="2DD85145"/>
    <w:rsid w:val="2E3C5442"/>
    <w:rsid w:val="2F2F04F6"/>
    <w:rsid w:val="300042B5"/>
    <w:rsid w:val="30FC337F"/>
    <w:rsid w:val="31467C43"/>
    <w:rsid w:val="318B6A8B"/>
    <w:rsid w:val="32935ADE"/>
    <w:rsid w:val="32E64D8F"/>
    <w:rsid w:val="33B466E1"/>
    <w:rsid w:val="33E14FFD"/>
    <w:rsid w:val="3473581A"/>
    <w:rsid w:val="35977DB1"/>
    <w:rsid w:val="35A74912"/>
    <w:rsid w:val="35A952DD"/>
    <w:rsid w:val="363F6B82"/>
    <w:rsid w:val="37A36298"/>
    <w:rsid w:val="37B179A9"/>
    <w:rsid w:val="37BB3CCB"/>
    <w:rsid w:val="382B20B3"/>
    <w:rsid w:val="38887767"/>
    <w:rsid w:val="391011AE"/>
    <w:rsid w:val="39421F13"/>
    <w:rsid w:val="394250FE"/>
    <w:rsid w:val="39446403"/>
    <w:rsid w:val="39C7750D"/>
    <w:rsid w:val="39E14818"/>
    <w:rsid w:val="39E74FE4"/>
    <w:rsid w:val="39F467A9"/>
    <w:rsid w:val="3A0F354D"/>
    <w:rsid w:val="3A35120E"/>
    <w:rsid w:val="3B394D6B"/>
    <w:rsid w:val="3BA548E8"/>
    <w:rsid w:val="3CBF07B7"/>
    <w:rsid w:val="3D0E1CEF"/>
    <w:rsid w:val="3D407F0C"/>
    <w:rsid w:val="3D90570D"/>
    <w:rsid w:val="3DAB7079"/>
    <w:rsid w:val="3E263682"/>
    <w:rsid w:val="3E3837C7"/>
    <w:rsid w:val="3E47743A"/>
    <w:rsid w:val="3E53543D"/>
    <w:rsid w:val="3E6A6C30"/>
    <w:rsid w:val="3E787C09"/>
    <w:rsid w:val="3F14330B"/>
    <w:rsid w:val="405210B0"/>
    <w:rsid w:val="41654AEA"/>
    <w:rsid w:val="41780576"/>
    <w:rsid w:val="41CE0F85"/>
    <w:rsid w:val="4282063D"/>
    <w:rsid w:val="432F7F19"/>
    <w:rsid w:val="45CC15DB"/>
    <w:rsid w:val="487731EA"/>
    <w:rsid w:val="48992511"/>
    <w:rsid w:val="48FA645F"/>
    <w:rsid w:val="493D00FA"/>
    <w:rsid w:val="49EE0EB8"/>
    <w:rsid w:val="4A7904F1"/>
    <w:rsid w:val="4B523D1F"/>
    <w:rsid w:val="4BE72014"/>
    <w:rsid w:val="4BFB0CB5"/>
    <w:rsid w:val="4CE7543A"/>
    <w:rsid w:val="4D023B04"/>
    <w:rsid w:val="4D117E10"/>
    <w:rsid w:val="4D324C0C"/>
    <w:rsid w:val="4D6E195B"/>
    <w:rsid w:val="4DE847FD"/>
    <w:rsid w:val="4E182812"/>
    <w:rsid w:val="4EEE6A50"/>
    <w:rsid w:val="4F606DC8"/>
    <w:rsid w:val="4F9C5FD7"/>
    <w:rsid w:val="4FF21C3E"/>
    <w:rsid w:val="50824921"/>
    <w:rsid w:val="50D521AD"/>
    <w:rsid w:val="51011462"/>
    <w:rsid w:val="52BE1CCD"/>
    <w:rsid w:val="537410F1"/>
    <w:rsid w:val="537E066F"/>
    <w:rsid w:val="539E6CB1"/>
    <w:rsid w:val="54525E07"/>
    <w:rsid w:val="552752C9"/>
    <w:rsid w:val="557A53C9"/>
    <w:rsid w:val="55A80497"/>
    <w:rsid w:val="55B836C5"/>
    <w:rsid w:val="561455C8"/>
    <w:rsid w:val="56B72430"/>
    <w:rsid w:val="57B82F39"/>
    <w:rsid w:val="584D6361"/>
    <w:rsid w:val="58782833"/>
    <w:rsid w:val="59B365AD"/>
    <w:rsid w:val="59BA55DF"/>
    <w:rsid w:val="5A47625B"/>
    <w:rsid w:val="5A5D71D1"/>
    <w:rsid w:val="5A957E7B"/>
    <w:rsid w:val="5B856C33"/>
    <w:rsid w:val="5B9B4583"/>
    <w:rsid w:val="5BBE0092"/>
    <w:rsid w:val="5BED48BF"/>
    <w:rsid w:val="5C037940"/>
    <w:rsid w:val="5C4E7975"/>
    <w:rsid w:val="5CC37203"/>
    <w:rsid w:val="5D1D6D54"/>
    <w:rsid w:val="5D7424B0"/>
    <w:rsid w:val="5D7F6ADB"/>
    <w:rsid w:val="5DAC233B"/>
    <w:rsid w:val="5DE5396F"/>
    <w:rsid w:val="5E957D54"/>
    <w:rsid w:val="5FA40538"/>
    <w:rsid w:val="609F43DF"/>
    <w:rsid w:val="60B11B30"/>
    <w:rsid w:val="62361518"/>
    <w:rsid w:val="62D8753A"/>
    <w:rsid w:val="62DA2A3D"/>
    <w:rsid w:val="63430AD8"/>
    <w:rsid w:val="63AD6551"/>
    <w:rsid w:val="63E630A7"/>
    <w:rsid w:val="642826DF"/>
    <w:rsid w:val="643E4883"/>
    <w:rsid w:val="66487E2C"/>
    <w:rsid w:val="666720DB"/>
    <w:rsid w:val="675C48ED"/>
    <w:rsid w:val="677862CF"/>
    <w:rsid w:val="67D76416"/>
    <w:rsid w:val="68BE0B64"/>
    <w:rsid w:val="695047F0"/>
    <w:rsid w:val="69645634"/>
    <w:rsid w:val="69AF20CD"/>
    <w:rsid w:val="6A8F6861"/>
    <w:rsid w:val="6B0E29B2"/>
    <w:rsid w:val="6B6C5411"/>
    <w:rsid w:val="6BEC34AF"/>
    <w:rsid w:val="6C2D5008"/>
    <w:rsid w:val="6C65140D"/>
    <w:rsid w:val="6C7B266F"/>
    <w:rsid w:val="6CB05EA1"/>
    <w:rsid w:val="6D191B50"/>
    <w:rsid w:val="6D1D366C"/>
    <w:rsid w:val="6E2873EA"/>
    <w:rsid w:val="6E9B2F9B"/>
    <w:rsid w:val="6E9F428D"/>
    <w:rsid w:val="6F961B22"/>
    <w:rsid w:val="70001CFE"/>
    <w:rsid w:val="70425E72"/>
    <w:rsid w:val="705B38C6"/>
    <w:rsid w:val="707C360E"/>
    <w:rsid w:val="708F34F9"/>
    <w:rsid w:val="70FE3C3D"/>
    <w:rsid w:val="71B44B4E"/>
    <w:rsid w:val="730701C4"/>
    <w:rsid w:val="732301DD"/>
    <w:rsid w:val="737143A4"/>
    <w:rsid w:val="73B003D3"/>
    <w:rsid w:val="73E71FF4"/>
    <w:rsid w:val="74021B8A"/>
    <w:rsid w:val="7427267C"/>
    <w:rsid w:val="745D6577"/>
    <w:rsid w:val="74740816"/>
    <w:rsid w:val="75784746"/>
    <w:rsid w:val="76B133EB"/>
    <w:rsid w:val="76CB3587"/>
    <w:rsid w:val="77045D62"/>
    <w:rsid w:val="787D756D"/>
    <w:rsid w:val="78E4527A"/>
    <w:rsid w:val="79385592"/>
    <w:rsid w:val="7A2B7F7C"/>
    <w:rsid w:val="7A7A090D"/>
    <w:rsid w:val="7A8B6668"/>
    <w:rsid w:val="7AAB2E9A"/>
    <w:rsid w:val="7B4E1B6F"/>
    <w:rsid w:val="7C582B10"/>
    <w:rsid w:val="7C61599E"/>
    <w:rsid w:val="7D037D5F"/>
    <w:rsid w:val="7E3F712D"/>
    <w:rsid w:val="7E4B05E8"/>
    <w:rsid w:val="7F2440E0"/>
    <w:rsid w:val="7F9A5E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qFormat="1" w:unhideWhenUsed="0" w:uiPriority="0" w:semiHidden="0" w:name="table of authorities"/>
    <w:lsdException w:qFormat="1" w:unhideWhenUsed="0"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qFormat="1" w:unhideWhenUsed="0" w:uiPriority="0" w:semiHidden="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left="227" w:firstLine="482"/>
    </w:pPr>
    <w:rPr>
      <w:rFonts w:ascii="Times New Roman" w:hAnsi="Times New Roman" w:eastAsia="宋体" w:cs="Times New Roman"/>
      <w:kern w:val="2"/>
      <w:sz w:val="24"/>
      <w:lang w:val="en-US" w:eastAsia="zh-CN" w:bidi="ar-SA"/>
    </w:rPr>
  </w:style>
  <w:style w:type="paragraph" w:styleId="3">
    <w:name w:val="heading 1"/>
    <w:basedOn w:val="1"/>
    <w:next w:val="1"/>
    <w:link w:val="105"/>
    <w:qFormat/>
    <w:uiPriority w:val="0"/>
    <w:pPr>
      <w:keepNext/>
      <w:keepLines/>
      <w:numPr>
        <w:ilvl w:val="0"/>
        <w:numId w:val="1"/>
      </w:numPr>
      <w:autoSpaceDE w:val="0"/>
      <w:spacing w:before="200" w:after="200"/>
      <w:outlineLvl w:val="0"/>
    </w:pPr>
    <w:rPr>
      <w:rFonts w:ascii="Arial" w:hAnsi="Arial" w:eastAsia="黑体"/>
      <w:kern w:val="44"/>
      <w:sz w:val="28"/>
      <w:lang w:val="zh-CN"/>
    </w:rPr>
  </w:style>
  <w:style w:type="paragraph" w:styleId="4">
    <w:name w:val="heading 2"/>
    <w:basedOn w:val="1"/>
    <w:next w:val="1"/>
    <w:link w:val="150"/>
    <w:qFormat/>
    <w:uiPriority w:val="0"/>
    <w:pPr>
      <w:keepLines/>
      <w:widowControl/>
      <w:numPr>
        <w:ilvl w:val="1"/>
        <w:numId w:val="2"/>
      </w:numPr>
      <w:adjustRightInd w:val="0"/>
      <w:snapToGrid w:val="0"/>
      <w:outlineLvl w:val="1"/>
    </w:pPr>
    <w:rPr>
      <w:b/>
      <w:bCs/>
      <w:szCs w:val="32"/>
      <w:lang w:val="zh-CN"/>
    </w:rPr>
  </w:style>
  <w:style w:type="paragraph" w:styleId="5">
    <w:name w:val="heading 3"/>
    <w:basedOn w:val="1"/>
    <w:next w:val="1"/>
    <w:link w:val="138"/>
    <w:qFormat/>
    <w:uiPriority w:val="0"/>
    <w:pPr>
      <w:keepLines/>
      <w:widowControl/>
      <w:numPr>
        <w:ilvl w:val="2"/>
        <w:numId w:val="2"/>
      </w:numPr>
      <w:adjustRightInd w:val="0"/>
      <w:snapToGrid w:val="0"/>
      <w:jc w:val="both"/>
      <w:outlineLvl w:val="2"/>
    </w:pPr>
    <w:rPr>
      <w:bCs/>
      <w:color w:val="000000"/>
      <w:sz w:val="21"/>
      <w:szCs w:val="32"/>
      <w:lang w:val="zh-CN"/>
    </w:rPr>
  </w:style>
  <w:style w:type="paragraph" w:styleId="6">
    <w:name w:val="heading 4"/>
    <w:basedOn w:val="1"/>
    <w:next w:val="1"/>
    <w:link w:val="101"/>
    <w:qFormat/>
    <w:uiPriority w:val="0"/>
    <w:pPr>
      <w:keepLines/>
      <w:widowControl/>
      <w:numPr>
        <w:ilvl w:val="3"/>
        <w:numId w:val="3"/>
      </w:numPr>
      <w:adjustRightInd w:val="0"/>
      <w:snapToGrid w:val="0"/>
      <w:outlineLvl w:val="3"/>
    </w:pPr>
    <w:rPr>
      <w:sz w:val="21"/>
      <w:szCs w:val="24"/>
      <w:lang w:val="zh-CN"/>
    </w:rPr>
  </w:style>
  <w:style w:type="paragraph" w:styleId="7">
    <w:name w:val="heading 5"/>
    <w:basedOn w:val="1"/>
    <w:next w:val="1"/>
    <w:link w:val="157"/>
    <w:qFormat/>
    <w:uiPriority w:val="0"/>
    <w:pPr>
      <w:keepNext/>
      <w:keepLines/>
      <w:numPr>
        <w:ilvl w:val="4"/>
        <w:numId w:val="1"/>
      </w:numPr>
      <w:spacing w:before="200" w:after="200"/>
      <w:outlineLvl w:val="4"/>
    </w:pPr>
    <w:rPr>
      <w:rFonts w:ascii="宋体" w:hAnsi="宋体"/>
      <w:lang w:val="zh-CN"/>
    </w:rPr>
  </w:style>
  <w:style w:type="paragraph" w:styleId="8">
    <w:name w:val="heading 6"/>
    <w:basedOn w:val="1"/>
    <w:next w:val="1"/>
    <w:link w:val="671"/>
    <w:qFormat/>
    <w:uiPriority w:val="0"/>
    <w:pPr>
      <w:keepNext/>
      <w:keepLines/>
      <w:numPr>
        <w:ilvl w:val="5"/>
        <w:numId w:val="1"/>
      </w:numPr>
      <w:spacing w:before="140" w:after="140"/>
      <w:outlineLvl w:val="5"/>
    </w:pPr>
    <w:rPr>
      <w:rFonts w:ascii="Arial" w:hAnsi="Arial" w:eastAsia="黑体"/>
      <w:lang w:val="zh-CN"/>
    </w:rPr>
  </w:style>
  <w:style w:type="paragraph" w:styleId="9">
    <w:name w:val="heading 7"/>
    <w:basedOn w:val="1"/>
    <w:next w:val="1"/>
    <w:link w:val="672"/>
    <w:qFormat/>
    <w:uiPriority w:val="0"/>
    <w:pPr>
      <w:keepNext/>
      <w:keepLines/>
      <w:numPr>
        <w:ilvl w:val="6"/>
        <w:numId w:val="1"/>
      </w:numPr>
      <w:spacing w:before="140" w:after="140"/>
      <w:outlineLvl w:val="6"/>
    </w:pPr>
    <w:rPr>
      <w:rFonts w:ascii="Arial" w:hAnsi="Arial" w:eastAsia="黑体"/>
      <w:lang w:val="zh-CN"/>
    </w:rPr>
  </w:style>
  <w:style w:type="paragraph" w:styleId="10">
    <w:name w:val="heading 8"/>
    <w:basedOn w:val="1"/>
    <w:next w:val="1"/>
    <w:link w:val="673"/>
    <w:qFormat/>
    <w:uiPriority w:val="0"/>
    <w:pPr>
      <w:keepNext/>
      <w:keepLines/>
      <w:numPr>
        <w:ilvl w:val="7"/>
        <w:numId w:val="1"/>
      </w:numPr>
      <w:spacing w:before="140" w:after="140"/>
      <w:outlineLvl w:val="7"/>
    </w:pPr>
    <w:rPr>
      <w:rFonts w:ascii="Arial" w:hAnsi="Arial" w:eastAsia="黑体"/>
      <w:lang w:val="zh-CN"/>
    </w:rPr>
  </w:style>
  <w:style w:type="paragraph" w:styleId="11">
    <w:name w:val="heading 9"/>
    <w:basedOn w:val="1"/>
    <w:next w:val="1"/>
    <w:link w:val="674"/>
    <w:qFormat/>
    <w:uiPriority w:val="0"/>
    <w:pPr>
      <w:keepNext/>
      <w:keepLines/>
      <w:numPr>
        <w:ilvl w:val="8"/>
        <w:numId w:val="1"/>
      </w:numPr>
      <w:spacing w:before="140" w:after="140"/>
      <w:outlineLvl w:val="8"/>
    </w:pPr>
    <w:rPr>
      <w:rFonts w:ascii="Arial" w:hAnsi="Arial" w:eastAsia="黑体"/>
      <w:lang w:val="zh-CN"/>
    </w:rPr>
  </w:style>
  <w:style w:type="character" w:default="1" w:styleId="92">
    <w:name w:val="Default Paragraph Font"/>
    <w:semiHidden/>
    <w:unhideWhenUsed/>
    <w:qFormat/>
    <w:uiPriority w:val="1"/>
  </w:style>
  <w:style w:type="table" w:default="1" w:styleId="87">
    <w:name w:val="Normal Table"/>
    <w:semiHidden/>
    <w:unhideWhenUsed/>
    <w:qFormat/>
    <w:uiPriority w:val="99"/>
    <w:tblPr>
      <w:tblCellMar>
        <w:top w:w="0" w:type="dxa"/>
        <w:left w:w="108" w:type="dxa"/>
        <w:bottom w:w="0" w:type="dxa"/>
        <w:right w:w="108" w:type="dxa"/>
      </w:tblCellMar>
    </w:tblPr>
  </w:style>
  <w:style w:type="paragraph" w:styleId="2">
    <w:name w:val="macro"/>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line="360" w:lineRule="auto"/>
      <w:ind w:left="709" w:hanging="482"/>
    </w:pPr>
    <w:rPr>
      <w:rFonts w:ascii="Courier New" w:hAnsi="Courier New" w:eastAsia="宋体" w:cs="Courier New"/>
      <w:kern w:val="2"/>
      <w:sz w:val="24"/>
      <w:szCs w:val="24"/>
      <w:lang w:val="en-US" w:eastAsia="zh-CN" w:bidi="ar-SA"/>
    </w:rPr>
  </w:style>
  <w:style w:type="paragraph" w:styleId="12">
    <w:name w:val="List 3"/>
    <w:basedOn w:val="1"/>
    <w:qFormat/>
    <w:uiPriority w:val="0"/>
    <w:pPr>
      <w:spacing w:line="240" w:lineRule="auto"/>
      <w:ind w:left="100" w:leftChars="400" w:hanging="200" w:hangingChars="200"/>
    </w:pPr>
    <w:rPr>
      <w:sz w:val="21"/>
    </w:rPr>
  </w:style>
  <w:style w:type="paragraph" w:styleId="13">
    <w:name w:val="toc 7"/>
    <w:basedOn w:val="1"/>
    <w:next w:val="1"/>
    <w:unhideWhenUsed/>
    <w:qFormat/>
    <w:uiPriority w:val="39"/>
    <w:pPr>
      <w:spacing w:line="240" w:lineRule="auto"/>
      <w:ind w:left="2520" w:leftChars="1200" w:firstLine="0"/>
      <w:jc w:val="both"/>
    </w:pPr>
    <w:rPr>
      <w:rFonts w:ascii="等线" w:hAnsi="等线" w:eastAsia="等线"/>
      <w:sz w:val="21"/>
      <w:szCs w:val="22"/>
    </w:rPr>
  </w:style>
  <w:style w:type="paragraph" w:styleId="14">
    <w:name w:val="List Number 2"/>
    <w:basedOn w:val="1"/>
    <w:qFormat/>
    <w:uiPriority w:val="0"/>
    <w:pPr>
      <w:tabs>
        <w:tab w:val="left" w:pos="780"/>
      </w:tabs>
      <w:spacing w:line="240" w:lineRule="auto"/>
      <w:ind w:left="780" w:leftChars="200" w:hanging="360"/>
    </w:pPr>
    <w:rPr>
      <w:sz w:val="21"/>
    </w:rPr>
  </w:style>
  <w:style w:type="paragraph" w:styleId="15">
    <w:name w:val="table of authorities"/>
    <w:basedOn w:val="1"/>
    <w:next w:val="1"/>
    <w:qFormat/>
    <w:uiPriority w:val="0"/>
    <w:pPr>
      <w:spacing w:line="240" w:lineRule="auto"/>
      <w:ind w:left="420" w:firstLine="454"/>
    </w:pPr>
    <w:rPr>
      <w:sz w:val="21"/>
    </w:rPr>
  </w:style>
  <w:style w:type="paragraph" w:styleId="16">
    <w:name w:val="Note Heading"/>
    <w:basedOn w:val="1"/>
    <w:next w:val="1"/>
    <w:qFormat/>
    <w:uiPriority w:val="0"/>
    <w:pPr>
      <w:spacing w:line="240" w:lineRule="auto"/>
      <w:jc w:val="center"/>
    </w:pPr>
    <w:rPr>
      <w:sz w:val="21"/>
    </w:rPr>
  </w:style>
  <w:style w:type="paragraph" w:styleId="17">
    <w:name w:val="List Bullet 4"/>
    <w:basedOn w:val="1"/>
    <w:qFormat/>
    <w:uiPriority w:val="0"/>
    <w:pPr>
      <w:tabs>
        <w:tab w:val="left" w:pos="1620"/>
      </w:tabs>
      <w:spacing w:line="240" w:lineRule="auto"/>
      <w:ind w:left="1620" w:leftChars="600" w:hanging="360"/>
    </w:pPr>
    <w:rPr>
      <w:sz w:val="21"/>
    </w:rPr>
  </w:style>
  <w:style w:type="paragraph" w:styleId="18">
    <w:name w:val="index 8"/>
    <w:basedOn w:val="1"/>
    <w:next w:val="1"/>
    <w:qFormat/>
    <w:uiPriority w:val="0"/>
    <w:pPr>
      <w:spacing w:line="240" w:lineRule="auto"/>
      <w:ind w:left="2240" w:hanging="280"/>
    </w:pPr>
    <w:rPr>
      <w:rFonts w:eastAsia="仿宋_GB2312"/>
      <w:sz w:val="20"/>
    </w:rPr>
  </w:style>
  <w:style w:type="paragraph" w:styleId="19">
    <w:name w:val="E-mail Signature"/>
    <w:basedOn w:val="1"/>
    <w:qFormat/>
    <w:uiPriority w:val="0"/>
    <w:pPr>
      <w:spacing w:line="240" w:lineRule="auto"/>
    </w:pPr>
    <w:rPr>
      <w:sz w:val="21"/>
    </w:rPr>
  </w:style>
  <w:style w:type="paragraph" w:styleId="20">
    <w:name w:val="List Number"/>
    <w:basedOn w:val="1"/>
    <w:qFormat/>
    <w:uiPriority w:val="0"/>
    <w:pPr>
      <w:tabs>
        <w:tab w:val="left" w:pos="360"/>
        <w:tab w:val="left" w:pos="1140"/>
      </w:tabs>
      <w:spacing w:line="240" w:lineRule="auto"/>
      <w:ind w:left="360" w:hanging="420"/>
    </w:pPr>
    <w:rPr>
      <w:sz w:val="21"/>
    </w:rPr>
  </w:style>
  <w:style w:type="paragraph" w:styleId="21">
    <w:name w:val="Normal Indent"/>
    <w:basedOn w:val="1"/>
    <w:link w:val="551"/>
    <w:qFormat/>
    <w:uiPriority w:val="0"/>
    <w:pPr>
      <w:spacing w:line="240" w:lineRule="auto"/>
      <w:jc w:val="center"/>
    </w:pPr>
    <w:rPr>
      <w:rFonts w:eastAsia="仿宋_GB2312"/>
      <w:sz w:val="32"/>
    </w:rPr>
  </w:style>
  <w:style w:type="paragraph" w:styleId="22">
    <w:name w:val="caption"/>
    <w:basedOn w:val="1"/>
    <w:next w:val="1"/>
    <w:qFormat/>
    <w:uiPriority w:val="0"/>
    <w:pPr>
      <w:widowControl/>
      <w:spacing w:before="120" w:line="240" w:lineRule="auto"/>
      <w:jc w:val="center"/>
    </w:pPr>
    <w:rPr>
      <w:rFonts w:ascii="Arial" w:hAnsi="Arial"/>
      <w:snapToGrid w:val="0"/>
      <w:sz w:val="22"/>
    </w:rPr>
  </w:style>
  <w:style w:type="paragraph" w:styleId="23">
    <w:name w:val="index 5"/>
    <w:basedOn w:val="1"/>
    <w:next w:val="1"/>
    <w:qFormat/>
    <w:uiPriority w:val="0"/>
    <w:pPr>
      <w:spacing w:line="240" w:lineRule="auto"/>
      <w:ind w:left="1400" w:hanging="280"/>
    </w:pPr>
    <w:rPr>
      <w:rFonts w:eastAsia="仿宋_GB2312"/>
      <w:sz w:val="20"/>
    </w:rPr>
  </w:style>
  <w:style w:type="paragraph" w:styleId="24">
    <w:name w:val="List Bullet"/>
    <w:basedOn w:val="1"/>
    <w:qFormat/>
    <w:uiPriority w:val="0"/>
    <w:pPr>
      <w:tabs>
        <w:tab w:val="left" w:pos="360"/>
        <w:tab w:val="left" w:pos="432"/>
      </w:tabs>
      <w:spacing w:line="240" w:lineRule="auto"/>
      <w:ind w:left="360" w:hanging="432"/>
    </w:pPr>
    <w:rPr>
      <w:sz w:val="21"/>
    </w:rPr>
  </w:style>
  <w:style w:type="paragraph" w:styleId="25">
    <w:name w:val="envelope address"/>
    <w:basedOn w:val="1"/>
    <w:qFormat/>
    <w:uiPriority w:val="0"/>
    <w:pPr>
      <w:snapToGrid w:val="0"/>
      <w:spacing w:line="240" w:lineRule="auto"/>
      <w:ind w:left="100" w:leftChars="1400"/>
    </w:pPr>
    <w:rPr>
      <w:rFonts w:ascii="Arial" w:hAnsi="Arial"/>
    </w:rPr>
  </w:style>
  <w:style w:type="paragraph" w:styleId="26">
    <w:name w:val="Document Map"/>
    <w:basedOn w:val="1"/>
    <w:link w:val="686"/>
    <w:qFormat/>
    <w:uiPriority w:val="0"/>
    <w:pPr>
      <w:shd w:val="clear" w:color="auto" w:fill="000080"/>
    </w:pPr>
  </w:style>
  <w:style w:type="paragraph" w:styleId="27">
    <w:name w:val="toa heading"/>
    <w:basedOn w:val="1"/>
    <w:next w:val="1"/>
    <w:qFormat/>
    <w:uiPriority w:val="0"/>
    <w:pPr>
      <w:spacing w:before="120" w:line="240" w:lineRule="auto"/>
    </w:pPr>
    <w:rPr>
      <w:rFonts w:ascii="Arial" w:hAnsi="Arial"/>
    </w:rPr>
  </w:style>
  <w:style w:type="paragraph" w:styleId="28">
    <w:name w:val="annotation text"/>
    <w:basedOn w:val="1"/>
    <w:link w:val="546"/>
    <w:qFormat/>
    <w:uiPriority w:val="99"/>
  </w:style>
  <w:style w:type="paragraph" w:styleId="29">
    <w:name w:val="index 6"/>
    <w:basedOn w:val="1"/>
    <w:next w:val="1"/>
    <w:qFormat/>
    <w:uiPriority w:val="0"/>
    <w:pPr>
      <w:spacing w:line="240" w:lineRule="auto"/>
      <w:ind w:left="1680" w:hanging="280"/>
    </w:pPr>
    <w:rPr>
      <w:rFonts w:eastAsia="仿宋_GB2312"/>
      <w:sz w:val="20"/>
    </w:rPr>
  </w:style>
  <w:style w:type="paragraph" w:styleId="30">
    <w:name w:val="Salutation"/>
    <w:basedOn w:val="1"/>
    <w:next w:val="1"/>
    <w:qFormat/>
    <w:uiPriority w:val="0"/>
    <w:pPr>
      <w:spacing w:line="240" w:lineRule="auto"/>
    </w:pPr>
    <w:rPr>
      <w:sz w:val="21"/>
    </w:rPr>
  </w:style>
  <w:style w:type="paragraph" w:styleId="31">
    <w:name w:val="Body Text 3"/>
    <w:basedOn w:val="1"/>
    <w:link w:val="717"/>
    <w:qFormat/>
    <w:uiPriority w:val="0"/>
    <w:pPr>
      <w:spacing w:after="120" w:line="240" w:lineRule="auto"/>
    </w:pPr>
    <w:rPr>
      <w:sz w:val="16"/>
    </w:rPr>
  </w:style>
  <w:style w:type="paragraph" w:styleId="32">
    <w:name w:val="Closing"/>
    <w:basedOn w:val="1"/>
    <w:qFormat/>
    <w:uiPriority w:val="0"/>
    <w:pPr>
      <w:spacing w:line="240" w:lineRule="auto"/>
      <w:ind w:left="100" w:leftChars="2100"/>
    </w:pPr>
    <w:rPr>
      <w:sz w:val="21"/>
    </w:rPr>
  </w:style>
  <w:style w:type="paragraph" w:styleId="33">
    <w:name w:val="List Bullet 3"/>
    <w:basedOn w:val="1"/>
    <w:qFormat/>
    <w:uiPriority w:val="0"/>
    <w:pPr>
      <w:tabs>
        <w:tab w:val="left" w:pos="1200"/>
      </w:tabs>
      <w:spacing w:line="240" w:lineRule="auto"/>
      <w:ind w:left="1200" w:leftChars="400" w:hanging="360"/>
    </w:pPr>
    <w:rPr>
      <w:sz w:val="21"/>
    </w:rPr>
  </w:style>
  <w:style w:type="paragraph" w:styleId="34">
    <w:name w:val="Body Text"/>
    <w:basedOn w:val="1"/>
    <w:link w:val="680"/>
    <w:qFormat/>
    <w:uiPriority w:val="0"/>
    <w:pPr>
      <w:spacing w:after="120"/>
    </w:pPr>
  </w:style>
  <w:style w:type="paragraph" w:styleId="35">
    <w:name w:val="Body Text Indent"/>
    <w:basedOn w:val="1"/>
    <w:link w:val="170"/>
    <w:qFormat/>
    <w:uiPriority w:val="0"/>
    <w:pPr>
      <w:ind w:left="105" w:hanging="105" w:hangingChars="50"/>
    </w:pPr>
    <w:rPr>
      <w:rFonts w:ascii="宋体" w:hAnsi="宋体"/>
    </w:rPr>
  </w:style>
  <w:style w:type="paragraph" w:styleId="36">
    <w:name w:val="List Number 3"/>
    <w:basedOn w:val="1"/>
    <w:qFormat/>
    <w:uiPriority w:val="0"/>
    <w:pPr>
      <w:tabs>
        <w:tab w:val="left" w:pos="1200"/>
      </w:tabs>
      <w:spacing w:line="240" w:lineRule="auto"/>
      <w:ind w:left="1200" w:leftChars="400" w:hanging="360"/>
    </w:pPr>
    <w:rPr>
      <w:sz w:val="21"/>
    </w:rPr>
  </w:style>
  <w:style w:type="paragraph" w:styleId="37">
    <w:name w:val="List 2"/>
    <w:basedOn w:val="1"/>
    <w:qFormat/>
    <w:uiPriority w:val="0"/>
    <w:pPr>
      <w:spacing w:line="240" w:lineRule="auto"/>
      <w:ind w:left="100" w:leftChars="200" w:hanging="200" w:hangingChars="200"/>
    </w:pPr>
    <w:rPr>
      <w:sz w:val="21"/>
    </w:rPr>
  </w:style>
  <w:style w:type="paragraph" w:styleId="38">
    <w:name w:val="List Continue"/>
    <w:basedOn w:val="1"/>
    <w:qFormat/>
    <w:uiPriority w:val="0"/>
    <w:pPr>
      <w:tabs>
        <w:tab w:val="left" w:pos="2040"/>
      </w:tabs>
      <w:spacing w:after="120" w:line="240" w:lineRule="auto"/>
      <w:ind w:left="2040" w:hanging="360"/>
    </w:pPr>
    <w:rPr>
      <w:sz w:val="21"/>
    </w:rPr>
  </w:style>
  <w:style w:type="paragraph" w:styleId="39">
    <w:name w:val="Block Text"/>
    <w:basedOn w:val="1"/>
    <w:qFormat/>
    <w:uiPriority w:val="0"/>
    <w:pPr>
      <w:ind w:left="993" w:right="235"/>
    </w:pPr>
    <w:rPr>
      <w:color w:val="000000"/>
    </w:rPr>
  </w:style>
  <w:style w:type="paragraph" w:styleId="40">
    <w:name w:val="List Bullet 2"/>
    <w:basedOn w:val="1"/>
    <w:qFormat/>
    <w:uiPriority w:val="0"/>
    <w:pPr>
      <w:tabs>
        <w:tab w:val="left" w:pos="780"/>
      </w:tabs>
      <w:spacing w:line="240" w:lineRule="auto"/>
      <w:ind w:left="780" w:leftChars="200" w:hanging="360"/>
    </w:pPr>
    <w:rPr>
      <w:sz w:val="21"/>
    </w:rPr>
  </w:style>
  <w:style w:type="paragraph" w:styleId="41">
    <w:name w:val="HTML Address"/>
    <w:basedOn w:val="1"/>
    <w:qFormat/>
    <w:uiPriority w:val="0"/>
    <w:pPr>
      <w:spacing w:line="240" w:lineRule="auto"/>
    </w:pPr>
    <w:rPr>
      <w:i/>
      <w:sz w:val="21"/>
    </w:rPr>
  </w:style>
  <w:style w:type="paragraph" w:styleId="42">
    <w:name w:val="index 4"/>
    <w:basedOn w:val="1"/>
    <w:next w:val="1"/>
    <w:qFormat/>
    <w:uiPriority w:val="0"/>
    <w:pPr>
      <w:spacing w:line="240" w:lineRule="auto"/>
      <w:ind w:left="1120" w:hanging="280"/>
    </w:pPr>
    <w:rPr>
      <w:rFonts w:eastAsia="仿宋_GB2312"/>
      <w:sz w:val="20"/>
    </w:rPr>
  </w:style>
  <w:style w:type="paragraph" w:styleId="43">
    <w:name w:val="toc 5"/>
    <w:basedOn w:val="1"/>
    <w:next w:val="1"/>
    <w:unhideWhenUsed/>
    <w:qFormat/>
    <w:uiPriority w:val="39"/>
    <w:pPr>
      <w:spacing w:line="240" w:lineRule="auto"/>
      <w:ind w:left="1680" w:leftChars="800" w:firstLine="0"/>
      <w:jc w:val="both"/>
    </w:pPr>
    <w:rPr>
      <w:rFonts w:ascii="等线" w:hAnsi="等线" w:eastAsia="等线"/>
      <w:sz w:val="21"/>
      <w:szCs w:val="22"/>
    </w:rPr>
  </w:style>
  <w:style w:type="paragraph" w:styleId="44">
    <w:name w:val="toc 3"/>
    <w:basedOn w:val="1"/>
    <w:next w:val="1"/>
    <w:unhideWhenUsed/>
    <w:qFormat/>
    <w:uiPriority w:val="39"/>
    <w:pPr>
      <w:spacing w:line="240" w:lineRule="auto"/>
      <w:ind w:left="840" w:leftChars="400" w:firstLine="0"/>
      <w:jc w:val="both"/>
    </w:pPr>
    <w:rPr>
      <w:rFonts w:ascii="等线" w:hAnsi="等线" w:eastAsia="等线"/>
      <w:sz w:val="21"/>
      <w:szCs w:val="22"/>
    </w:rPr>
  </w:style>
  <w:style w:type="paragraph" w:styleId="45">
    <w:name w:val="Plain Text"/>
    <w:basedOn w:val="1"/>
    <w:link w:val="706"/>
    <w:qFormat/>
    <w:uiPriority w:val="0"/>
    <w:pPr>
      <w:spacing w:line="240" w:lineRule="auto"/>
    </w:pPr>
    <w:rPr>
      <w:rFonts w:ascii="宋体" w:hAnsi="Courier New"/>
      <w:sz w:val="21"/>
    </w:rPr>
  </w:style>
  <w:style w:type="paragraph" w:styleId="46">
    <w:name w:val="List Bullet 5"/>
    <w:basedOn w:val="1"/>
    <w:qFormat/>
    <w:uiPriority w:val="0"/>
    <w:pPr>
      <w:tabs>
        <w:tab w:val="left" w:pos="1920"/>
      </w:tabs>
      <w:spacing w:line="240" w:lineRule="auto"/>
      <w:ind w:left="1920" w:hanging="420"/>
    </w:pPr>
    <w:rPr>
      <w:sz w:val="21"/>
    </w:rPr>
  </w:style>
  <w:style w:type="paragraph" w:styleId="47">
    <w:name w:val="List Number 4"/>
    <w:basedOn w:val="1"/>
    <w:qFormat/>
    <w:uiPriority w:val="0"/>
    <w:pPr>
      <w:tabs>
        <w:tab w:val="left" w:pos="1620"/>
      </w:tabs>
      <w:spacing w:line="240" w:lineRule="auto"/>
      <w:ind w:left="1620" w:leftChars="600" w:hanging="360"/>
    </w:pPr>
    <w:rPr>
      <w:sz w:val="21"/>
    </w:rPr>
  </w:style>
  <w:style w:type="paragraph" w:styleId="48">
    <w:name w:val="toc 8"/>
    <w:basedOn w:val="1"/>
    <w:next w:val="1"/>
    <w:unhideWhenUsed/>
    <w:qFormat/>
    <w:uiPriority w:val="39"/>
    <w:pPr>
      <w:spacing w:line="240" w:lineRule="auto"/>
      <w:ind w:left="2940" w:leftChars="1400" w:firstLine="0"/>
      <w:jc w:val="both"/>
    </w:pPr>
    <w:rPr>
      <w:rFonts w:ascii="等线" w:hAnsi="等线" w:eastAsia="等线"/>
      <w:sz w:val="21"/>
      <w:szCs w:val="22"/>
    </w:rPr>
  </w:style>
  <w:style w:type="paragraph" w:styleId="49">
    <w:name w:val="index 3"/>
    <w:basedOn w:val="1"/>
    <w:next w:val="1"/>
    <w:qFormat/>
    <w:uiPriority w:val="0"/>
    <w:pPr>
      <w:spacing w:line="240" w:lineRule="auto"/>
      <w:ind w:left="840" w:hanging="280"/>
    </w:pPr>
    <w:rPr>
      <w:rFonts w:eastAsia="仿宋_GB2312"/>
      <w:sz w:val="20"/>
    </w:rPr>
  </w:style>
  <w:style w:type="paragraph" w:styleId="50">
    <w:name w:val="Date"/>
    <w:basedOn w:val="1"/>
    <w:next w:val="1"/>
    <w:link w:val="699"/>
    <w:qFormat/>
    <w:uiPriority w:val="0"/>
    <w:pPr>
      <w:autoSpaceDE w:val="0"/>
      <w:autoSpaceDN w:val="0"/>
      <w:adjustRightInd w:val="0"/>
      <w:jc w:val="right"/>
      <w:textAlignment w:val="baseline"/>
    </w:pPr>
    <w:rPr>
      <w:rFonts w:ascii="宋体" w:hAnsi="宋体"/>
      <w:kern w:val="0"/>
    </w:rPr>
  </w:style>
  <w:style w:type="paragraph" w:styleId="51">
    <w:name w:val="Body Text Indent 2"/>
    <w:basedOn w:val="1"/>
    <w:link w:val="595"/>
    <w:qFormat/>
    <w:uiPriority w:val="0"/>
    <w:pPr>
      <w:ind w:left="1080" w:leftChars="450"/>
    </w:pPr>
  </w:style>
  <w:style w:type="paragraph" w:styleId="52">
    <w:name w:val="endnote text"/>
    <w:basedOn w:val="1"/>
    <w:semiHidden/>
    <w:qFormat/>
    <w:uiPriority w:val="0"/>
    <w:pPr>
      <w:snapToGrid w:val="0"/>
      <w:spacing w:line="240" w:lineRule="auto"/>
    </w:pPr>
    <w:rPr>
      <w:szCs w:val="24"/>
    </w:rPr>
  </w:style>
  <w:style w:type="paragraph" w:styleId="53">
    <w:name w:val="List Continue 5"/>
    <w:basedOn w:val="1"/>
    <w:qFormat/>
    <w:uiPriority w:val="0"/>
    <w:pPr>
      <w:tabs>
        <w:tab w:val="left" w:pos="432"/>
      </w:tabs>
      <w:spacing w:after="120" w:line="240" w:lineRule="auto"/>
      <w:ind w:left="2100" w:leftChars="1000"/>
    </w:pPr>
    <w:rPr>
      <w:sz w:val="21"/>
    </w:rPr>
  </w:style>
  <w:style w:type="paragraph" w:styleId="54">
    <w:name w:val="Balloon Text"/>
    <w:basedOn w:val="1"/>
    <w:link w:val="685"/>
    <w:qFormat/>
    <w:uiPriority w:val="0"/>
    <w:rPr>
      <w:sz w:val="18"/>
    </w:rPr>
  </w:style>
  <w:style w:type="paragraph" w:styleId="55">
    <w:name w:val="footer"/>
    <w:basedOn w:val="1"/>
    <w:link w:val="700"/>
    <w:qFormat/>
    <w:uiPriority w:val="99"/>
    <w:pPr>
      <w:tabs>
        <w:tab w:val="center" w:pos="4153"/>
        <w:tab w:val="right" w:pos="8306"/>
      </w:tabs>
      <w:snapToGrid w:val="0"/>
    </w:pPr>
    <w:rPr>
      <w:sz w:val="18"/>
    </w:rPr>
  </w:style>
  <w:style w:type="paragraph" w:styleId="56">
    <w:name w:val="envelope return"/>
    <w:basedOn w:val="1"/>
    <w:qFormat/>
    <w:uiPriority w:val="0"/>
    <w:pPr>
      <w:snapToGrid w:val="0"/>
      <w:spacing w:line="240" w:lineRule="auto"/>
    </w:pPr>
    <w:rPr>
      <w:rFonts w:ascii="Arial" w:hAnsi="Arial"/>
      <w:sz w:val="21"/>
    </w:rPr>
  </w:style>
  <w:style w:type="paragraph" w:styleId="57">
    <w:name w:val="header"/>
    <w:basedOn w:val="1"/>
    <w:link w:val="708"/>
    <w:qFormat/>
    <w:uiPriority w:val="0"/>
    <w:pPr>
      <w:pBdr>
        <w:bottom w:val="single" w:color="auto" w:sz="6" w:space="1"/>
      </w:pBdr>
      <w:tabs>
        <w:tab w:val="right" w:pos="8460"/>
      </w:tabs>
      <w:snapToGrid w:val="0"/>
      <w:spacing w:line="240" w:lineRule="auto"/>
      <w:jc w:val="right"/>
    </w:pPr>
    <w:rPr>
      <w:sz w:val="21"/>
    </w:rPr>
  </w:style>
  <w:style w:type="paragraph" w:styleId="58">
    <w:name w:val="Signature"/>
    <w:basedOn w:val="1"/>
    <w:qFormat/>
    <w:uiPriority w:val="0"/>
    <w:pPr>
      <w:spacing w:line="240" w:lineRule="auto"/>
      <w:ind w:left="100" w:leftChars="2100"/>
    </w:pPr>
    <w:rPr>
      <w:sz w:val="21"/>
    </w:rPr>
  </w:style>
  <w:style w:type="paragraph" w:styleId="59">
    <w:name w:val="toc 1"/>
    <w:basedOn w:val="1"/>
    <w:next w:val="1"/>
    <w:qFormat/>
    <w:uiPriority w:val="39"/>
    <w:pPr>
      <w:ind w:left="0"/>
    </w:pPr>
  </w:style>
  <w:style w:type="paragraph" w:styleId="60">
    <w:name w:val="List Continue 4"/>
    <w:basedOn w:val="1"/>
    <w:qFormat/>
    <w:uiPriority w:val="0"/>
    <w:pPr>
      <w:spacing w:after="120" w:line="240" w:lineRule="auto"/>
      <w:ind w:left="1680" w:leftChars="800"/>
    </w:pPr>
    <w:rPr>
      <w:sz w:val="21"/>
    </w:rPr>
  </w:style>
  <w:style w:type="paragraph" w:styleId="61">
    <w:name w:val="toc 4"/>
    <w:basedOn w:val="1"/>
    <w:next w:val="1"/>
    <w:unhideWhenUsed/>
    <w:qFormat/>
    <w:uiPriority w:val="39"/>
    <w:pPr>
      <w:spacing w:line="240" w:lineRule="auto"/>
      <w:ind w:left="1260" w:leftChars="600" w:firstLine="0"/>
      <w:jc w:val="both"/>
    </w:pPr>
    <w:rPr>
      <w:rFonts w:ascii="等线" w:hAnsi="等线" w:eastAsia="等线"/>
      <w:sz w:val="21"/>
      <w:szCs w:val="22"/>
    </w:rPr>
  </w:style>
  <w:style w:type="paragraph" w:styleId="62">
    <w:name w:val="index heading"/>
    <w:basedOn w:val="1"/>
    <w:next w:val="63"/>
    <w:qFormat/>
    <w:uiPriority w:val="0"/>
    <w:pPr>
      <w:spacing w:before="120" w:after="120" w:line="240" w:lineRule="auto"/>
    </w:pPr>
    <w:rPr>
      <w:rFonts w:eastAsia="仿宋_GB2312"/>
      <w:b/>
      <w:i/>
      <w:sz w:val="20"/>
    </w:rPr>
  </w:style>
  <w:style w:type="paragraph" w:styleId="63">
    <w:name w:val="index 1"/>
    <w:basedOn w:val="1"/>
    <w:next w:val="1"/>
    <w:qFormat/>
    <w:uiPriority w:val="0"/>
    <w:pPr>
      <w:spacing w:before="156" w:beforeLines="50" w:after="156" w:afterLines="50" w:line="380" w:lineRule="exact"/>
    </w:pPr>
  </w:style>
  <w:style w:type="paragraph" w:styleId="64">
    <w:name w:val="Subtitle"/>
    <w:basedOn w:val="1"/>
    <w:qFormat/>
    <w:uiPriority w:val="0"/>
    <w:pPr>
      <w:spacing w:before="240" w:after="60" w:line="312" w:lineRule="auto"/>
      <w:jc w:val="center"/>
      <w:outlineLvl w:val="1"/>
    </w:pPr>
    <w:rPr>
      <w:rFonts w:ascii="Arial" w:hAnsi="Arial"/>
      <w:b/>
      <w:kern w:val="28"/>
      <w:sz w:val="32"/>
    </w:rPr>
  </w:style>
  <w:style w:type="paragraph" w:styleId="65">
    <w:name w:val="List Number 5"/>
    <w:basedOn w:val="1"/>
    <w:qFormat/>
    <w:uiPriority w:val="0"/>
    <w:pPr>
      <w:tabs>
        <w:tab w:val="left" w:pos="1080"/>
      </w:tabs>
      <w:spacing w:line="240" w:lineRule="auto"/>
      <w:ind w:left="1080" w:hanging="720"/>
    </w:pPr>
    <w:rPr>
      <w:sz w:val="21"/>
    </w:rPr>
  </w:style>
  <w:style w:type="paragraph" w:styleId="66">
    <w:name w:val="List"/>
    <w:basedOn w:val="1"/>
    <w:qFormat/>
    <w:uiPriority w:val="0"/>
    <w:pPr>
      <w:spacing w:line="240" w:lineRule="auto"/>
    </w:pPr>
  </w:style>
  <w:style w:type="paragraph" w:styleId="67">
    <w:name w:val="footnote text"/>
    <w:basedOn w:val="1"/>
    <w:qFormat/>
    <w:uiPriority w:val="0"/>
    <w:pPr>
      <w:snapToGrid w:val="0"/>
      <w:spacing w:line="240" w:lineRule="auto"/>
    </w:pPr>
    <w:rPr>
      <w:sz w:val="18"/>
    </w:rPr>
  </w:style>
  <w:style w:type="paragraph" w:styleId="68">
    <w:name w:val="toc 6"/>
    <w:basedOn w:val="1"/>
    <w:next w:val="1"/>
    <w:unhideWhenUsed/>
    <w:qFormat/>
    <w:uiPriority w:val="39"/>
    <w:pPr>
      <w:spacing w:line="240" w:lineRule="auto"/>
      <w:ind w:left="2100" w:leftChars="1000" w:firstLine="0"/>
      <w:jc w:val="both"/>
    </w:pPr>
    <w:rPr>
      <w:rFonts w:ascii="等线" w:hAnsi="等线" w:eastAsia="等线"/>
      <w:sz w:val="21"/>
      <w:szCs w:val="22"/>
    </w:rPr>
  </w:style>
  <w:style w:type="paragraph" w:styleId="69">
    <w:name w:val="List 5"/>
    <w:basedOn w:val="1"/>
    <w:qFormat/>
    <w:uiPriority w:val="0"/>
    <w:pPr>
      <w:tabs>
        <w:tab w:val="left" w:pos="720"/>
      </w:tabs>
      <w:spacing w:line="240" w:lineRule="auto"/>
      <w:ind w:left="100" w:leftChars="800" w:hanging="200"/>
    </w:pPr>
    <w:rPr>
      <w:sz w:val="21"/>
    </w:rPr>
  </w:style>
  <w:style w:type="paragraph" w:styleId="70">
    <w:name w:val="Body Text Indent 3"/>
    <w:basedOn w:val="1"/>
    <w:link w:val="676"/>
    <w:qFormat/>
    <w:uiPriority w:val="0"/>
    <w:pPr>
      <w:ind w:left="1134" w:hanging="34"/>
    </w:pPr>
  </w:style>
  <w:style w:type="paragraph" w:styleId="71">
    <w:name w:val="index 7"/>
    <w:basedOn w:val="1"/>
    <w:next w:val="1"/>
    <w:qFormat/>
    <w:uiPriority w:val="0"/>
    <w:pPr>
      <w:spacing w:line="240" w:lineRule="auto"/>
      <w:ind w:left="1960" w:hanging="280"/>
    </w:pPr>
    <w:rPr>
      <w:rFonts w:eastAsia="仿宋_GB2312"/>
      <w:sz w:val="20"/>
    </w:rPr>
  </w:style>
  <w:style w:type="paragraph" w:styleId="72">
    <w:name w:val="index 9"/>
    <w:basedOn w:val="1"/>
    <w:next w:val="1"/>
    <w:qFormat/>
    <w:uiPriority w:val="0"/>
    <w:pPr>
      <w:spacing w:line="240" w:lineRule="auto"/>
      <w:ind w:left="2520" w:hanging="280"/>
    </w:pPr>
    <w:rPr>
      <w:rFonts w:eastAsia="仿宋_GB2312"/>
      <w:sz w:val="20"/>
    </w:rPr>
  </w:style>
  <w:style w:type="paragraph" w:styleId="73">
    <w:name w:val="table of figures"/>
    <w:basedOn w:val="1"/>
    <w:next w:val="1"/>
    <w:qFormat/>
    <w:uiPriority w:val="0"/>
    <w:pPr>
      <w:spacing w:line="240" w:lineRule="auto"/>
      <w:ind w:left="200" w:leftChars="200" w:hanging="200" w:hangingChars="200"/>
    </w:pPr>
    <w:rPr>
      <w:sz w:val="28"/>
      <w:szCs w:val="28"/>
    </w:rPr>
  </w:style>
  <w:style w:type="paragraph" w:styleId="74">
    <w:name w:val="toc 2"/>
    <w:basedOn w:val="1"/>
    <w:next w:val="1"/>
    <w:qFormat/>
    <w:uiPriority w:val="39"/>
    <w:pPr>
      <w:ind w:left="420" w:leftChars="200"/>
    </w:pPr>
  </w:style>
  <w:style w:type="paragraph" w:styleId="75">
    <w:name w:val="toc 9"/>
    <w:basedOn w:val="1"/>
    <w:next w:val="1"/>
    <w:unhideWhenUsed/>
    <w:qFormat/>
    <w:uiPriority w:val="39"/>
    <w:pPr>
      <w:spacing w:line="240" w:lineRule="auto"/>
      <w:ind w:left="3360" w:leftChars="1600" w:firstLine="0"/>
      <w:jc w:val="both"/>
    </w:pPr>
    <w:rPr>
      <w:rFonts w:ascii="等线" w:hAnsi="等线" w:eastAsia="等线"/>
      <w:sz w:val="21"/>
      <w:szCs w:val="22"/>
    </w:rPr>
  </w:style>
  <w:style w:type="paragraph" w:styleId="76">
    <w:name w:val="Body Text 2"/>
    <w:basedOn w:val="1"/>
    <w:link w:val="707"/>
    <w:qFormat/>
    <w:uiPriority w:val="0"/>
    <w:pPr>
      <w:spacing w:after="120" w:line="480" w:lineRule="auto"/>
    </w:pPr>
  </w:style>
  <w:style w:type="paragraph" w:styleId="77">
    <w:name w:val="List 4"/>
    <w:basedOn w:val="1"/>
    <w:qFormat/>
    <w:uiPriority w:val="0"/>
    <w:pPr>
      <w:spacing w:line="240" w:lineRule="auto"/>
      <w:ind w:left="100" w:leftChars="600" w:hanging="200" w:hangingChars="200"/>
    </w:pPr>
    <w:rPr>
      <w:sz w:val="21"/>
    </w:rPr>
  </w:style>
  <w:style w:type="paragraph" w:styleId="78">
    <w:name w:val="List Continue 2"/>
    <w:basedOn w:val="1"/>
    <w:qFormat/>
    <w:uiPriority w:val="0"/>
    <w:pPr>
      <w:spacing w:after="120" w:line="240" w:lineRule="auto"/>
      <w:ind w:left="840" w:leftChars="400"/>
    </w:pPr>
    <w:rPr>
      <w:sz w:val="21"/>
    </w:rPr>
  </w:style>
  <w:style w:type="paragraph" w:styleId="7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line="240" w:lineRule="auto"/>
      <w:ind w:left="1080" w:leftChars="500" w:hanging="1080" w:hangingChars="500"/>
    </w:pPr>
    <w:rPr>
      <w:rFonts w:ascii="Arial" w:hAnsi="Arial"/>
    </w:rPr>
  </w:style>
  <w:style w:type="paragraph" w:styleId="80">
    <w:name w:val="HTML Preformatted"/>
    <w:basedOn w:val="1"/>
    <w:link w:val="1256"/>
    <w:qFormat/>
    <w:uiPriority w:val="0"/>
    <w:pPr>
      <w:spacing w:line="240" w:lineRule="auto"/>
    </w:pPr>
    <w:rPr>
      <w:rFonts w:ascii="Courier New" w:hAnsi="Courier New"/>
      <w:sz w:val="20"/>
      <w:lang w:val="zh-CN"/>
    </w:rPr>
  </w:style>
  <w:style w:type="paragraph" w:styleId="81">
    <w:name w:val="Normal (Web)"/>
    <w:basedOn w:val="1"/>
    <w:qFormat/>
    <w:uiPriority w:val="0"/>
    <w:pPr>
      <w:spacing w:line="240" w:lineRule="auto"/>
    </w:pPr>
  </w:style>
  <w:style w:type="paragraph" w:styleId="82">
    <w:name w:val="List Continue 3"/>
    <w:basedOn w:val="1"/>
    <w:qFormat/>
    <w:uiPriority w:val="0"/>
    <w:pPr>
      <w:spacing w:after="120" w:line="240" w:lineRule="auto"/>
      <w:ind w:left="1260" w:leftChars="600"/>
    </w:pPr>
    <w:rPr>
      <w:sz w:val="21"/>
    </w:rPr>
  </w:style>
  <w:style w:type="paragraph" w:styleId="83">
    <w:name w:val="index 2"/>
    <w:basedOn w:val="1"/>
    <w:next w:val="1"/>
    <w:qFormat/>
    <w:uiPriority w:val="0"/>
    <w:pPr>
      <w:spacing w:line="240" w:lineRule="auto"/>
      <w:ind w:left="560" w:hanging="280"/>
    </w:pPr>
    <w:rPr>
      <w:rFonts w:eastAsia="仿宋_GB2312"/>
      <w:sz w:val="20"/>
    </w:rPr>
  </w:style>
  <w:style w:type="paragraph" w:styleId="84">
    <w:name w:val="Title"/>
    <w:basedOn w:val="1"/>
    <w:qFormat/>
    <w:uiPriority w:val="0"/>
    <w:pPr>
      <w:spacing w:before="240" w:after="60" w:line="240" w:lineRule="auto"/>
      <w:jc w:val="center"/>
      <w:outlineLvl w:val="0"/>
    </w:pPr>
    <w:rPr>
      <w:rFonts w:ascii="Arial" w:hAnsi="Arial" w:eastAsia="黑体"/>
      <w:sz w:val="28"/>
    </w:rPr>
  </w:style>
  <w:style w:type="paragraph" w:styleId="85">
    <w:name w:val="annotation subject"/>
    <w:basedOn w:val="28"/>
    <w:next w:val="28"/>
    <w:link w:val="701"/>
    <w:qFormat/>
    <w:uiPriority w:val="0"/>
    <w:rPr>
      <w:b/>
    </w:rPr>
  </w:style>
  <w:style w:type="paragraph" w:styleId="86">
    <w:name w:val="Body Text First Indent 2"/>
    <w:basedOn w:val="35"/>
    <w:qFormat/>
    <w:uiPriority w:val="0"/>
    <w:pPr>
      <w:spacing w:after="120" w:line="240" w:lineRule="auto"/>
      <w:ind w:left="420" w:leftChars="200" w:firstLine="420" w:firstLineChars="200"/>
    </w:pPr>
    <w:rPr>
      <w:color w:val="FF0000"/>
      <w:szCs w:val="24"/>
    </w:rPr>
  </w:style>
  <w:style w:type="table" w:styleId="88">
    <w:name w:val="Table Grid"/>
    <w:basedOn w:val="8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9">
    <w:name w:val="Table Theme"/>
    <w:basedOn w:val="8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Elegant"/>
    <w:basedOn w:val="87"/>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l2br w:val="nil"/>
          <w:tr2bl w:val="nil"/>
        </w:tcBorders>
      </w:tcPr>
    </w:tblStylePr>
  </w:style>
  <w:style w:type="table" w:styleId="91">
    <w:name w:val="Table Grid 1"/>
    <w:basedOn w:val="87"/>
    <w:qFormat/>
    <w:uiPriority w:val="0"/>
    <w:pPr>
      <w:widowControl w:val="0"/>
      <w:spacing w:line="360" w:lineRule="auto"/>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color="000000" w:sz="6" w:space="0"/>
          <w:tr2bl w:val="nil"/>
        </w:tcBorders>
      </w:tcPr>
    </w:tblStylePr>
  </w:style>
  <w:style w:type="character" w:styleId="93">
    <w:name w:val="Strong"/>
    <w:qFormat/>
    <w:uiPriority w:val="0"/>
    <w:rPr>
      <w:b/>
    </w:rPr>
  </w:style>
  <w:style w:type="character" w:styleId="94">
    <w:name w:val="page number"/>
    <w:basedOn w:val="92"/>
    <w:qFormat/>
    <w:uiPriority w:val="0"/>
  </w:style>
  <w:style w:type="character" w:styleId="95">
    <w:name w:val="FollowedHyperlink"/>
    <w:qFormat/>
    <w:uiPriority w:val="0"/>
    <w:rPr>
      <w:rFonts w:ascii="Tahoma" w:hAnsi="Tahoma" w:eastAsia="仿宋_GB2312"/>
      <w:b/>
      <w:color w:val="800080"/>
      <w:kern w:val="2"/>
      <w:sz w:val="24"/>
      <w:u w:val="single"/>
      <w:lang w:val="en-US" w:eastAsia="zh-CN"/>
    </w:rPr>
  </w:style>
  <w:style w:type="character" w:styleId="96">
    <w:name w:val="Emphasis"/>
    <w:qFormat/>
    <w:uiPriority w:val="20"/>
    <w:rPr>
      <w:i/>
    </w:rPr>
  </w:style>
  <w:style w:type="character" w:styleId="97">
    <w:name w:val="HTML Typewriter"/>
    <w:qFormat/>
    <w:uiPriority w:val="0"/>
    <w:rPr>
      <w:rFonts w:ascii="宋体" w:hAnsi="宋体" w:eastAsia="宋体"/>
      <w:sz w:val="24"/>
    </w:rPr>
  </w:style>
  <w:style w:type="character" w:styleId="98">
    <w:name w:val="Hyperlink"/>
    <w:qFormat/>
    <w:uiPriority w:val="99"/>
    <w:rPr>
      <w:color w:val="0000FF"/>
      <w:u w:val="single"/>
    </w:rPr>
  </w:style>
  <w:style w:type="character" w:styleId="99">
    <w:name w:val="annotation reference"/>
    <w:qFormat/>
    <w:uiPriority w:val="99"/>
    <w:rPr>
      <w:sz w:val="21"/>
    </w:rPr>
  </w:style>
  <w:style w:type="character" w:styleId="100">
    <w:name w:val="footnote reference"/>
    <w:qFormat/>
    <w:uiPriority w:val="0"/>
    <w:rPr>
      <w:vertAlign w:val="superscript"/>
    </w:rPr>
  </w:style>
  <w:style w:type="character" w:customStyle="1" w:styleId="101">
    <w:name w:val="标题 4 Char"/>
    <w:link w:val="6"/>
    <w:qFormat/>
    <w:uiPriority w:val="0"/>
    <w:rPr>
      <w:kern w:val="2"/>
      <w:sz w:val="21"/>
      <w:szCs w:val="24"/>
      <w:lang w:val="zh-CN" w:eastAsia="zh-CN"/>
    </w:rPr>
  </w:style>
  <w:style w:type="character" w:customStyle="1" w:styleId="102">
    <w:name w:val="1.2.1.1 海拔高度 Char"/>
    <w:link w:val="103"/>
    <w:qFormat/>
    <w:uiPriority w:val="0"/>
    <w:rPr>
      <w:kern w:val="2"/>
      <w:sz w:val="21"/>
      <w:szCs w:val="24"/>
      <w:lang w:val="zh-CN" w:eastAsia="zh-CN"/>
    </w:rPr>
  </w:style>
  <w:style w:type="paragraph" w:customStyle="1" w:styleId="103">
    <w:name w:val="1.2.1.1 海拔高度"/>
    <w:basedOn w:val="6"/>
    <w:link w:val="102"/>
    <w:qFormat/>
    <w:uiPriority w:val="0"/>
  </w:style>
  <w:style w:type="character" w:customStyle="1" w:styleId="104">
    <w:name w:val="Char Char1"/>
    <w:qFormat/>
    <w:uiPriority w:val="0"/>
    <w:rPr>
      <w:rFonts w:ascii="宋体" w:hAnsi="宋体" w:eastAsia="黑体"/>
      <w:b/>
      <w:spacing w:val="6"/>
      <w:kern w:val="2"/>
      <w:sz w:val="44"/>
      <w:lang w:val="en-US" w:eastAsia="zh-CN"/>
    </w:rPr>
  </w:style>
  <w:style w:type="character" w:customStyle="1" w:styleId="105">
    <w:name w:val="标题 1 Char"/>
    <w:link w:val="3"/>
    <w:qFormat/>
    <w:uiPriority w:val="0"/>
    <w:rPr>
      <w:rFonts w:ascii="Arial" w:hAnsi="Arial" w:eastAsia="黑体"/>
      <w:kern w:val="44"/>
      <w:sz w:val="28"/>
      <w:lang w:val="zh-CN" w:eastAsia="zh-CN"/>
    </w:rPr>
  </w:style>
  <w:style w:type="character" w:customStyle="1" w:styleId="106">
    <w:name w:val="四级标题 Char"/>
    <w:link w:val="107"/>
    <w:qFormat/>
    <w:uiPriority w:val="0"/>
    <w:rPr>
      <w:kern w:val="2"/>
      <w:sz w:val="21"/>
      <w:szCs w:val="24"/>
      <w:lang w:val="zh-CN" w:eastAsia="zh-CN"/>
    </w:rPr>
  </w:style>
  <w:style w:type="paragraph" w:customStyle="1" w:styleId="107">
    <w:name w:val="四级标题"/>
    <w:basedOn w:val="6"/>
    <w:link w:val="106"/>
    <w:qFormat/>
    <w:uiPriority w:val="0"/>
  </w:style>
  <w:style w:type="character" w:customStyle="1" w:styleId="108">
    <w:name w:val="9号线正文 Char"/>
    <w:link w:val="109"/>
    <w:qFormat/>
    <w:uiPriority w:val="0"/>
    <w:rPr>
      <w:rFonts w:ascii="宋体" w:hAnsi="宋体" w:eastAsia="宋体"/>
      <w:kern w:val="2"/>
      <w:sz w:val="24"/>
      <w:lang w:val="en-US" w:eastAsia="zh-CN"/>
    </w:rPr>
  </w:style>
  <w:style w:type="paragraph" w:customStyle="1" w:styleId="109">
    <w:name w:val="9号线正文"/>
    <w:basedOn w:val="1"/>
    <w:link w:val="108"/>
    <w:qFormat/>
    <w:uiPriority w:val="0"/>
    <w:pPr>
      <w:ind w:firstLine="480" w:firstLineChars="200"/>
    </w:pPr>
    <w:rPr>
      <w:rFonts w:ascii="宋体" w:hAnsi="宋体"/>
    </w:rPr>
  </w:style>
  <w:style w:type="character" w:customStyle="1" w:styleId="110">
    <w:name w:val="Char Char3"/>
    <w:qFormat/>
    <w:uiPriority w:val="0"/>
    <w:rPr>
      <w:rFonts w:ascii="宋体" w:hAnsi="宋体" w:eastAsia="黑体"/>
      <w:b/>
      <w:kern w:val="44"/>
      <w:sz w:val="44"/>
      <w:lang w:val="en-US" w:eastAsia="zh-CN"/>
    </w:rPr>
  </w:style>
  <w:style w:type="character" w:customStyle="1" w:styleId="111">
    <w:name w:val="样式 首行缩进:  2 字符 Char1"/>
    <w:qFormat/>
    <w:uiPriority w:val="0"/>
    <w:rPr>
      <w:rFonts w:eastAsia="宋体"/>
      <w:kern w:val="2"/>
      <w:sz w:val="24"/>
      <w:lang w:val="en-US" w:eastAsia="zh-CN"/>
    </w:rPr>
  </w:style>
  <w:style w:type="character" w:customStyle="1" w:styleId="112">
    <w:name w:val="标题（4） Char"/>
    <w:link w:val="113"/>
    <w:qFormat/>
    <w:uiPriority w:val="0"/>
    <w:rPr>
      <w:rFonts w:eastAsia="宋体"/>
      <w:kern w:val="2"/>
      <w:sz w:val="24"/>
      <w:lang w:val="en-US" w:eastAsia="zh-CN" w:bidi="ar-SA"/>
    </w:rPr>
  </w:style>
  <w:style w:type="paragraph" w:customStyle="1" w:styleId="113">
    <w:name w:val="标题（4）"/>
    <w:basedOn w:val="1"/>
    <w:link w:val="112"/>
    <w:qFormat/>
    <w:uiPriority w:val="0"/>
    <w:pPr>
      <w:tabs>
        <w:tab w:val="left" w:pos="1535"/>
      </w:tabs>
      <w:topLinePunct/>
      <w:ind w:left="514" w:firstLine="386"/>
      <w:outlineLvl w:val="3"/>
    </w:pPr>
  </w:style>
  <w:style w:type="character" w:customStyle="1" w:styleId="114">
    <w:name w:val="Heading Four Char Char"/>
    <w:qFormat/>
    <w:uiPriority w:val="0"/>
    <w:rPr>
      <w:rFonts w:ascii="宋体" w:hAnsi="Arial" w:eastAsia="宋体"/>
      <w:color w:val="000000"/>
      <w:kern w:val="2"/>
      <w:sz w:val="24"/>
      <w:lang w:val="en-US" w:eastAsia="zh-CN"/>
    </w:rPr>
  </w:style>
  <w:style w:type="character" w:customStyle="1" w:styleId="115">
    <w:name w:val="样式 样式 首行缩进:  2 字符 段前: 4.65 磅 + 首行缩进:  2 字符 Char"/>
    <w:link w:val="116"/>
    <w:qFormat/>
    <w:uiPriority w:val="0"/>
    <w:rPr>
      <w:rFonts w:eastAsia="宋体"/>
      <w:kern w:val="2"/>
      <w:sz w:val="24"/>
      <w:lang w:val="en-US" w:eastAsia="zh-CN"/>
    </w:rPr>
  </w:style>
  <w:style w:type="paragraph" w:customStyle="1" w:styleId="116">
    <w:name w:val="样式 样式 首行缩进:  2 字符 段前: 4.65 磅 + 首行缩进:  2 字符"/>
    <w:basedOn w:val="1"/>
    <w:link w:val="115"/>
    <w:qFormat/>
    <w:uiPriority w:val="0"/>
    <w:pPr>
      <w:topLinePunct/>
      <w:spacing w:before="93"/>
      <w:ind w:firstLine="480" w:firstLineChars="200"/>
    </w:pPr>
  </w:style>
  <w:style w:type="character" w:customStyle="1" w:styleId="117">
    <w:name w:val="标题 5 Char"/>
    <w:qFormat/>
    <w:uiPriority w:val="0"/>
    <w:rPr>
      <w:rFonts w:ascii="宋体" w:hAnsi="宋体" w:eastAsia="宋体"/>
      <w:kern w:val="2"/>
      <w:sz w:val="24"/>
      <w:lang w:val="en-US" w:eastAsia="zh-CN"/>
    </w:rPr>
  </w:style>
  <w:style w:type="character" w:customStyle="1" w:styleId="118">
    <w:name w:val="Char Char2"/>
    <w:link w:val="119"/>
    <w:qFormat/>
    <w:uiPriority w:val="0"/>
    <w:rPr>
      <w:rFonts w:ascii="黑体" w:hAnsi="宋体" w:eastAsia="黑体"/>
      <w:b/>
      <w:kern w:val="32"/>
      <w:sz w:val="44"/>
      <w:lang w:val="en-US" w:eastAsia="zh-CN"/>
    </w:rPr>
  </w:style>
  <w:style w:type="paragraph" w:customStyle="1" w:styleId="119">
    <w:name w:val="Char"/>
    <w:basedOn w:val="1"/>
    <w:link w:val="118"/>
    <w:qFormat/>
    <w:uiPriority w:val="0"/>
    <w:pPr>
      <w:ind w:firstLine="200" w:firstLineChars="200"/>
    </w:pPr>
    <w:rPr>
      <w:rFonts w:ascii="黑体" w:hAnsi="宋体" w:eastAsia="黑体"/>
      <w:b/>
      <w:kern w:val="32"/>
      <w:sz w:val="44"/>
    </w:rPr>
  </w:style>
  <w:style w:type="character" w:customStyle="1" w:styleId="120">
    <w:name w:val="1.2.1 环境 Char"/>
    <w:link w:val="121"/>
    <w:qFormat/>
    <w:uiPriority w:val="0"/>
    <w:rPr>
      <w:rFonts w:ascii="宋体" w:hAnsi="Arial"/>
      <w:spacing w:val="1"/>
      <w:kern w:val="2"/>
      <w:sz w:val="24"/>
      <w:lang w:val="zh-CN" w:eastAsia="zh-CN"/>
    </w:rPr>
  </w:style>
  <w:style w:type="paragraph" w:customStyle="1" w:styleId="121">
    <w:name w:val="1.2.1 环境"/>
    <w:basedOn w:val="5"/>
    <w:link w:val="120"/>
    <w:qFormat/>
    <w:uiPriority w:val="0"/>
    <w:pPr>
      <w:keepLines w:val="0"/>
    </w:pPr>
    <w:rPr>
      <w:rFonts w:ascii="宋体" w:hAnsi="Arial"/>
      <w:bCs w:val="0"/>
      <w:color w:val="auto"/>
      <w:spacing w:val="1"/>
      <w:sz w:val="24"/>
      <w:szCs w:val="20"/>
    </w:rPr>
  </w:style>
  <w:style w:type="character" w:customStyle="1" w:styleId="122">
    <w:name w:val="样式 标书正文 + (符号) 宋体 首行缩进:  2 字符 Char"/>
    <w:link w:val="123"/>
    <w:qFormat/>
    <w:uiPriority w:val="0"/>
    <w:rPr>
      <w:rFonts w:hAnsi="宋体" w:eastAsia="宋体"/>
      <w:spacing w:val="6"/>
      <w:kern w:val="2"/>
      <w:sz w:val="24"/>
      <w:lang w:val="en-US" w:eastAsia="zh-CN"/>
    </w:rPr>
  </w:style>
  <w:style w:type="paragraph" w:customStyle="1" w:styleId="123">
    <w:name w:val="样式 标书正文 + (符号) 宋体 首行缩进:  2 字符"/>
    <w:basedOn w:val="124"/>
    <w:link w:val="122"/>
    <w:qFormat/>
    <w:uiPriority w:val="0"/>
    <w:pPr>
      <w:ind w:firstLine="504"/>
    </w:pPr>
    <w:rPr>
      <w:rFonts w:hAnsi="宋体"/>
      <w:spacing w:val="6"/>
    </w:rPr>
  </w:style>
  <w:style w:type="paragraph" w:customStyle="1" w:styleId="124">
    <w:name w:val="标书正文"/>
    <w:basedOn w:val="1"/>
    <w:link w:val="152"/>
    <w:qFormat/>
    <w:uiPriority w:val="0"/>
    <w:pPr>
      <w:ind w:firstLine="200" w:firstLineChars="200"/>
    </w:pPr>
    <w:rPr>
      <w:spacing w:val="1"/>
    </w:rPr>
  </w:style>
  <w:style w:type="character" w:customStyle="1" w:styleId="125">
    <w:name w:val="Head 114 Cha"/>
    <w:qFormat/>
    <w:uiPriority w:val="0"/>
    <w:rPr>
      <w:rFonts w:ascii="Arial" w:hAnsi="Arial" w:eastAsia="黑体"/>
      <w:kern w:val="44"/>
      <w:sz w:val="28"/>
      <w:lang w:val="en-US" w:eastAsia="zh-CN"/>
    </w:rPr>
  </w:style>
  <w:style w:type="character" w:customStyle="1" w:styleId="126">
    <w:name w:val="9号线项目符号 Char"/>
    <w:link w:val="127"/>
    <w:qFormat/>
    <w:uiPriority w:val="0"/>
    <w:rPr>
      <w:rFonts w:ascii="宋体" w:hAnsi="宋体" w:eastAsia="宋体"/>
      <w:kern w:val="2"/>
      <w:sz w:val="24"/>
      <w:lang w:val="en-US" w:eastAsia="zh-CN" w:bidi="ar-SA"/>
    </w:rPr>
  </w:style>
  <w:style w:type="paragraph" w:customStyle="1" w:styleId="127">
    <w:name w:val="9号线项目符号"/>
    <w:basedOn w:val="1"/>
    <w:link w:val="126"/>
    <w:qFormat/>
    <w:uiPriority w:val="0"/>
    <w:pPr>
      <w:tabs>
        <w:tab w:val="left" w:pos="620"/>
      </w:tabs>
      <w:ind w:left="285" w:leftChars="200" w:hanging="85" w:hangingChars="85"/>
    </w:pPr>
    <w:rPr>
      <w:rFonts w:ascii="宋体" w:hAnsi="宋体"/>
    </w:rPr>
  </w:style>
  <w:style w:type="character" w:customStyle="1" w:styleId="128">
    <w:name w:val="表格内字体"/>
    <w:qFormat/>
    <w:uiPriority w:val="0"/>
    <w:rPr>
      <w:rFonts w:ascii="宋体" w:eastAsia="宋体"/>
      <w:color w:val="auto"/>
      <w:spacing w:val="1"/>
      <w:kern w:val="2"/>
      <w:sz w:val="21"/>
      <w:lang w:val="en-US" w:eastAsia="zh-CN"/>
    </w:rPr>
  </w:style>
  <w:style w:type="character" w:customStyle="1" w:styleId="129">
    <w:name w:val="text1"/>
    <w:qFormat/>
    <w:uiPriority w:val="0"/>
    <w:rPr>
      <w:color w:val="000000"/>
      <w:sz w:val="18"/>
      <w:u w:val="none"/>
    </w:rPr>
  </w:style>
  <w:style w:type="character" w:customStyle="1" w:styleId="130">
    <w:name w:val="1）小标题 Char"/>
    <w:link w:val="131"/>
    <w:qFormat/>
    <w:uiPriority w:val="0"/>
    <w:rPr>
      <w:rFonts w:eastAsia="宋体"/>
      <w:spacing w:val="6"/>
      <w:kern w:val="2"/>
      <w:sz w:val="24"/>
      <w:lang w:val="en-US" w:eastAsia="zh-CN"/>
    </w:rPr>
  </w:style>
  <w:style w:type="paragraph" w:customStyle="1" w:styleId="131">
    <w:name w:val="1）小标题"/>
    <w:basedOn w:val="124"/>
    <w:next w:val="1"/>
    <w:link w:val="130"/>
    <w:qFormat/>
    <w:uiPriority w:val="0"/>
    <w:pPr>
      <w:ind w:firstLine="300" w:firstLineChars="300"/>
    </w:pPr>
    <w:rPr>
      <w:spacing w:val="6"/>
    </w:rPr>
  </w:style>
  <w:style w:type="character" w:customStyle="1" w:styleId="132">
    <w:name w:val="标题 11"/>
    <w:qFormat/>
    <w:uiPriority w:val="0"/>
    <w:rPr>
      <w:rFonts w:ascii="Arial" w:hAnsi="Arial" w:eastAsia="黑体"/>
      <w:kern w:val="44"/>
      <w:sz w:val="28"/>
      <w:lang w:val="en-US" w:eastAsia="zh-CN"/>
    </w:rPr>
  </w:style>
  <w:style w:type="character" w:customStyle="1" w:styleId="133">
    <w:name w:val="7 Char"/>
    <w:link w:val="134"/>
    <w:qFormat/>
    <w:uiPriority w:val="0"/>
    <w:rPr>
      <w:rFonts w:eastAsia="宋体"/>
      <w:kern w:val="2"/>
      <w:sz w:val="28"/>
      <w:lang w:val="en-US" w:eastAsia="zh-CN"/>
    </w:rPr>
  </w:style>
  <w:style w:type="paragraph" w:customStyle="1" w:styleId="134">
    <w:name w:val="7"/>
    <w:basedOn w:val="1"/>
    <w:next w:val="34"/>
    <w:link w:val="133"/>
    <w:qFormat/>
    <w:uiPriority w:val="0"/>
    <w:pPr>
      <w:spacing w:line="240" w:lineRule="auto"/>
    </w:pPr>
    <w:rPr>
      <w:sz w:val="28"/>
    </w:rPr>
  </w:style>
  <w:style w:type="character" w:customStyle="1" w:styleId="135">
    <w:name w:val="paragraph Char"/>
    <w:link w:val="136"/>
    <w:qFormat/>
    <w:uiPriority w:val="0"/>
    <w:rPr>
      <w:rFonts w:ascii="Times" w:hAnsi="Times" w:eastAsia="宋体"/>
      <w:kern w:val="2"/>
      <w:sz w:val="24"/>
      <w:lang w:val="en-US" w:eastAsia="en-US"/>
    </w:rPr>
  </w:style>
  <w:style w:type="paragraph" w:customStyle="1" w:styleId="136">
    <w:name w:val="paragraph"/>
    <w:basedOn w:val="1"/>
    <w:link w:val="135"/>
    <w:qFormat/>
    <w:uiPriority w:val="0"/>
    <w:pPr>
      <w:widowControl/>
      <w:spacing w:before="120" w:line="240" w:lineRule="auto"/>
      <w:ind w:left="1701"/>
    </w:pPr>
    <w:rPr>
      <w:rFonts w:ascii="Times" w:hAnsi="Times"/>
      <w:lang w:eastAsia="en-US"/>
    </w:rPr>
  </w:style>
  <w:style w:type="character" w:customStyle="1" w:styleId="137">
    <w:name w:val="1.1标题 2 Char"/>
    <w:qFormat/>
    <w:uiPriority w:val="0"/>
    <w:rPr>
      <w:rFonts w:ascii="Arial" w:hAnsi="Arial" w:eastAsia="黑体"/>
      <w:kern w:val="2"/>
      <w:sz w:val="28"/>
      <w:lang w:val="en-US" w:eastAsia="zh-CN"/>
    </w:rPr>
  </w:style>
  <w:style w:type="character" w:customStyle="1" w:styleId="138">
    <w:name w:val="标题 3 Char3"/>
    <w:link w:val="5"/>
    <w:qFormat/>
    <w:uiPriority w:val="0"/>
    <w:rPr>
      <w:bCs/>
      <w:color w:val="000000"/>
      <w:kern w:val="2"/>
      <w:sz w:val="21"/>
      <w:szCs w:val="32"/>
      <w:lang w:val="zh-CN"/>
    </w:rPr>
  </w:style>
  <w:style w:type="character" w:customStyle="1" w:styleId="139">
    <w:name w:val="标题 3 Char1"/>
    <w:qFormat/>
    <w:uiPriority w:val="0"/>
    <w:rPr>
      <w:rFonts w:eastAsia="宋体"/>
      <w:sz w:val="24"/>
      <w:lang w:val="en-GB" w:eastAsia="en-US"/>
    </w:rPr>
  </w:style>
  <w:style w:type="character" w:customStyle="1" w:styleId="140">
    <w:name w:val="样式 标书正文 + 加宽量  0.3 磅 Char"/>
    <w:link w:val="141"/>
    <w:qFormat/>
    <w:uiPriority w:val="0"/>
    <w:rPr>
      <w:rFonts w:eastAsia="宋体"/>
      <w:spacing w:val="6"/>
      <w:kern w:val="2"/>
      <w:sz w:val="24"/>
      <w:lang w:val="en-US" w:eastAsia="zh-CN"/>
    </w:rPr>
  </w:style>
  <w:style w:type="paragraph" w:customStyle="1" w:styleId="141">
    <w:name w:val="样式 标书正文 + 加宽量  0.3 磅"/>
    <w:basedOn w:val="124"/>
    <w:link w:val="140"/>
    <w:qFormat/>
    <w:uiPriority w:val="0"/>
    <w:rPr>
      <w:spacing w:val="6"/>
    </w:rPr>
  </w:style>
  <w:style w:type="character" w:customStyle="1" w:styleId="142">
    <w:name w:val="正文A Char"/>
    <w:link w:val="143"/>
    <w:qFormat/>
    <w:uiPriority w:val="0"/>
    <w:rPr>
      <w:rFonts w:ascii="宋体" w:hAnsi="宋体" w:eastAsia="宋体"/>
      <w:kern w:val="2"/>
      <w:sz w:val="24"/>
      <w:lang w:val="en-US" w:eastAsia="zh-CN"/>
    </w:rPr>
  </w:style>
  <w:style w:type="paragraph" w:customStyle="1" w:styleId="143">
    <w:name w:val="正文A"/>
    <w:basedOn w:val="1"/>
    <w:link w:val="142"/>
    <w:qFormat/>
    <w:uiPriority w:val="0"/>
    <w:pPr>
      <w:ind w:firstLine="480"/>
    </w:pPr>
    <w:rPr>
      <w:rFonts w:ascii="宋体" w:hAnsi="宋体"/>
    </w:rPr>
  </w:style>
  <w:style w:type="character" w:customStyle="1" w:styleId="144">
    <w:name w:val="1 工程 Char"/>
    <w:link w:val="145"/>
    <w:qFormat/>
    <w:uiPriority w:val="0"/>
    <w:rPr>
      <w:rFonts w:ascii="Arial" w:hAnsi="Arial" w:eastAsia="黑体"/>
      <w:b/>
      <w:kern w:val="44"/>
      <w:sz w:val="28"/>
      <w:lang w:val="zh-CN" w:eastAsia="zh-CN"/>
    </w:rPr>
  </w:style>
  <w:style w:type="paragraph" w:customStyle="1" w:styleId="145">
    <w:name w:val="1 工程"/>
    <w:basedOn w:val="3"/>
    <w:link w:val="144"/>
    <w:qFormat/>
    <w:uiPriority w:val="0"/>
    <w:rPr>
      <w:b/>
    </w:rPr>
  </w:style>
  <w:style w:type="character" w:customStyle="1" w:styleId="146">
    <w:name w:val="符号 Char"/>
    <w:link w:val="147"/>
    <w:qFormat/>
    <w:uiPriority w:val="0"/>
    <w:rPr>
      <w:rFonts w:eastAsia="宋体"/>
      <w:kern w:val="2"/>
      <w:sz w:val="24"/>
      <w:lang w:val="en-US" w:eastAsia="zh-CN" w:bidi="ar-SA"/>
    </w:rPr>
  </w:style>
  <w:style w:type="paragraph" w:customStyle="1" w:styleId="147">
    <w:name w:val="符号"/>
    <w:basedOn w:val="1"/>
    <w:link w:val="146"/>
    <w:qFormat/>
    <w:uiPriority w:val="0"/>
    <w:pPr>
      <w:tabs>
        <w:tab w:val="left" w:pos="981"/>
      </w:tabs>
      <w:topLinePunct/>
      <w:ind w:left="981" w:hanging="420"/>
    </w:pPr>
  </w:style>
  <w:style w:type="character" w:customStyle="1" w:styleId="148">
    <w:name w:val="表格文字图表文字 Char"/>
    <w:link w:val="149"/>
    <w:qFormat/>
    <w:uiPriority w:val="0"/>
    <w:rPr>
      <w:rFonts w:eastAsia="宋体"/>
      <w:kern w:val="2"/>
      <w:sz w:val="21"/>
      <w:lang w:val="en-US" w:eastAsia="zh-CN"/>
    </w:rPr>
  </w:style>
  <w:style w:type="paragraph" w:customStyle="1" w:styleId="149">
    <w:name w:val="表格文字图表文字"/>
    <w:basedOn w:val="1"/>
    <w:link w:val="148"/>
    <w:qFormat/>
    <w:uiPriority w:val="0"/>
    <w:pPr>
      <w:snapToGrid w:val="0"/>
      <w:spacing w:line="240" w:lineRule="auto"/>
      <w:jc w:val="center"/>
    </w:pPr>
    <w:rPr>
      <w:sz w:val="21"/>
    </w:rPr>
  </w:style>
  <w:style w:type="character" w:customStyle="1" w:styleId="150">
    <w:name w:val="标题 2 Char"/>
    <w:link w:val="4"/>
    <w:qFormat/>
    <w:uiPriority w:val="0"/>
    <w:rPr>
      <w:b/>
      <w:bCs/>
      <w:kern w:val="2"/>
      <w:sz w:val="24"/>
      <w:szCs w:val="32"/>
      <w:lang w:val="zh-CN" w:eastAsia="zh-CN"/>
    </w:rPr>
  </w:style>
  <w:style w:type="character" w:customStyle="1" w:styleId="151">
    <w:name w:val="正文文本缩进 Char"/>
    <w:qFormat/>
    <w:uiPriority w:val="0"/>
    <w:rPr>
      <w:rFonts w:eastAsia="宋体"/>
      <w:kern w:val="2"/>
      <w:sz w:val="21"/>
      <w:lang w:val="en-US" w:eastAsia="zh-CN"/>
    </w:rPr>
  </w:style>
  <w:style w:type="character" w:customStyle="1" w:styleId="152">
    <w:name w:val="标书正文 Char"/>
    <w:link w:val="124"/>
    <w:qFormat/>
    <w:uiPriority w:val="0"/>
    <w:rPr>
      <w:rFonts w:eastAsia="宋体"/>
      <w:spacing w:val="1"/>
      <w:kern w:val="2"/>
      <w:sz w:val="24"/>
      <w:lang w:val="en-US" w:eastAsia="zh-CN"/>
    </w:rPr>
  </w:style>
  <w:style w:type="character" w:customStyle="1" w:styleId="153">
    <w:name w:val="样式 样式 Times New Roman1 + 宋体 Char"/>
    <w:link w:val="154"/>
    <w:qFormat/>
    <w:uiPriority w:val="0"/>
    <w:rPr>
      <w:rFonts w:ascii="宋体" w:hAnsi="宋体"/>
      <w:kern w:val="2"/>
      <w:sz w:val="21"/>
      <w:lang w:val="en-US" w:eastAsia="zh-CN"/>
    </w:rPr>
  </w:style>
  <w:style w:type="paragraph" w:customStyle="1" w:styleId="154">
    <w:name w:val="样式 样式 Times New Roman1 + 宋体"/>
    <w:basedOn w:val="155"/>
    <w:link w:val="153"/>
    <w:qFormat/>
    <w:uiPriority w:val="0"/>
    <w:rPr>
      <w:rFonts w:ascii="宋体" w:hAnsi="宋体" w:eastAsia="宋体"/>
    </w:rPr>
  </w:style>
  <w:style w:type="paragraph" w:customStyle="1" w:styleId="155">
    <w:name w:val="样式 Times New Roman1"/>
    <w:basedOn w:val="1"/>
    <w:qFormat/>
    <w:uiPriority w:val="0"/>
    <w:pPr>
      <w:spacing w:line="240" w:lineRule="auto"/>
    </w:pPr>
    <w:rPr>
      <w:rFonts w:eastAsia="Times New Roman"/>
      <w:sz w:val="21"/>
    </w:rPr>
  </w:style>
  <w:style w:type="character" w:customStyle="1" w:styleId="156">
    <w:name w:val="第一章 名称"/>
    <w:qFormat/>
    <w:uiPriority w:val="0"/>
    <w:rPr>
      <w:rFonts w:ascii="Arial" w:hAnsi="Arial" w:eastAsia="黑体"/>
      <w:kern w:val="44"/>
      <w:sz w:val="44"/>
      <w:lang w:val="en-US" w:eastAsia="zh-CN" w:bidi="ar-SA"/>
    </w:rPr>
  </w:style>
  <w:style w:type="character" w:customStyle="1" w:styleId="157">
    <w:name w:val="标题 5 Char1"/>
    <w:link w:val="7"/>
    <w:qFormat/>
    <w:uiPriority w:val="0"/>
    <w:rPr>
      <w:rFonts w:ascii="宋体" w:hAnsi="宋体"/>
      <w:kern w:val="2"/>
      <w:sz w:val="24"/>
      <w:lang w:val="zh-CN" w:eastAsia="zh-CN"/>
    </w:rPr>
  </w:style>
  <w:style w:type="character" w:customStyle="1" w:styleId="158">
    <w:name w:val="1.2.1 环境（标准） Char"/>
    <w:link w:val="159"/>
    <w:qFormat/>
    <w:uiPriority w:val="0"/>
    <w:rPr>
      <w:rFonts w:ascii="宋体" w:hAnsi="Arial"/>
      <w:spacing w:val="1"/>
      <w:kern w:val="2"/>
      <w:sz w:val="24"/>
      <w:lang w:val="zh-CN" w:eastAsia="zh-CN"/>
    </w:rPr>
  </w:style>
  <w:style w:type="paragraph" w:customStyle="1" w:styleId="159">
    <w:name w:val="1.2.1 环境（标准）"/>
    <w:basedOn w:val="121"/>
    <w:link w:val="158"/>
    <w:qFormat/>
    <w:uiPriority w:val="0"/>
    <w:pPr>
      <w:tabs>
        <w:tab w:val="left" w:pos="420"/>
      </w:tabs>
    </w:pPr>
  </w:style>
  <w:style w:type="character" w:customStyle="1" w:styleId="160">
    <w:name w:val="样式 首行缩进:  2 字符 Char"/>
    <w:link w:val="161"/>
    <w:qFormat/>
    <w:uiPriority w:val="0"/>
    <w:rPr>
      <w:rFonts w:eastAsia="宋体"/>
      <w:kern w:val="2"/>
      <w:sz w:val="24"/>
      <w:lang w:val="en-US" w:eastAsia="zh-CN"/>
    </w:rPr>
  </w:style>
  <w:style w:type="paragraph" w:customStyle="1" w:styleId="161">
    <w:name w:val="样式 首行缩进:  2 字符"/>
    <w:basedOn w:val="1"/>
    <w:link w:val="160"/>
    <w:qFormat/>
    <w:uiPriority w:val="0"/>
    <w:pPr>
      <w:spacing w:line="480" w:lineRule="exact"/>
      <w:ind w:firstLine="480" w:firstLineChars="200"/>
    </w:pPr>
  </w:style>
  <w:style w:type="character" w:customStyle="1" w:styleId="162">
    <w:name w:val="Table Bullet 1 Char Char"/>
    <w:link w:val="163"/>
    <w:qFormat/>
    <w:uiPriority w:val="0"/>
    <w:rPr>
      <w:rFonts w:ascii="Verdana" w:hAnsi="Verdana" w:eastAsia="宋体"/>
      <w:kern w:val="2"/>
      <w:sz w:val="18"/>
      <w:lang w:val="en-US" w:eastAsia="en-US" w:bidi="ar-SA"/>
    </w:rPr>
  </w:style>
  <w:style w:type="paragraph" w:customStyle="1" w:styleId="163">
    <w:name w:val="Table Bullet 1"/>
    <w:basedOn w:val="1"/>
    <w:link w:val="162"/>
    <w:qFormat/>
    <w:uiPriority w:val="0"/>
    <w:pPr>
      <w:widowControl/>
      <w:tabs>
        <w:tab w:val="left" w:pos="454"/>
        <w:tab w:val="left" w:pos="680"/>
        <w:tab w:val="left" w:pos="1021"/>
      </w:tabs>
      <w:spacing w:before="60" w:after="60" w:line="280" w:lineRule="atLeast"/>
      <w:ind w:left="357" w:right="51" w:hanging="357"/>
    </w:pPr>
    <w:rPr>
      <w:rFonts w:ascii="Verdana" w:hAnsi="Verdana"/>
      <w:sz w:val="18"/>
      <w:lang w:eastAsia="en-US"/>
    </w:rPr>
  </w:style>
  <w:style w:type="character" w:customStyle="1" w:styleId="164">
    <w:name w:val="1 工程概况及范围"/>
    <w:qFormat/>
    <w:uiPriority w:val="0"/>
    <w:rPr>
      <w:rFonts w:ascii="Arial" w:hAnsi="Arial" w:eastAsia="黑体"/>
      <w:b/>
      <w:kern w:val="44"/>
      <w:sz w:val="30"/>
      <w:lang w:val="en-US" w:eastAsia="zh-CN" w:bidi="ar-SA"/>
    </w:rPr>
  </w:style>
  <w:style w:type="character" w:customStyle="1" w:styleId="165">
    <w:name w:val="标题 21"/>
    <w:qFormat/>
    <w:uiPriority w:val="0"/>
    <w:rPr>
      <w:rFonts w:ascii="Arial" w:hAnsi="Arial" w:eastAsia="黑体"/>
      <w:kern w:val="2"/>
      <w:sz w:val="28"/>
      <w:lang w:val="en-US" w:eastAsia="zh-CN"/>
    </w:rPr>
  </w:style>
  <w:style w:type="character" w:customStyle="1" w:styleId="166">
    <w:name w:val="沈阳2正文B Char"/>
    <w:link w:val="167"/>
    <w:qFormat/>
    <w:uiPriority w:val="0"/>
    <w:rPr>
      <w:rFonts w:ascii="宋体" w:hAnsi="宋体" w:eastAsia="宋体"/>
      <w:b/>
      <w:kern w:val="2"/>
      <w:sz w:val="24"/>
      <w:lang w:val="en-US" w:eastAsia="zh-CN"/>
    </w:rPr>
  </w:style>
  <w:style w:type="paragraph" w:customStyle="1" w:styleId="167">
    <w:name w:val="沈阳2正文B"/>
    <w:basedOn w:val="1"/>
    <w:next w:val="1"/>
    <w:link w:val="166"/>
    <w:qFormat/>
    <w:uiPriority w:val="0"/>
    <w:pPr>
      <w:ind w:firstLine="200" w:firstLineChars="200"/>
    </w:pPr>
    <w:rPr>
      <w:rFonts w:ascii="宋体" w:hAnsi="宋体"/>
      <w:b/>
    </w:rPr>
  </w:style>
  <w:style w:type="character" w:customStyle="1" w:styleId="168">
    <w:name w:val="Header Char"/>
    <w:qFormat/>
    <w:uiPriority w:val="0"/>
    <w:rPr>
      <w:rFonts w:eastAsia="楷体_GB2312"/>
      <w:kern w:val="2"/>
      <w:sz w:val="18"/>
      <w:lang w:val="en-US" w:eastAsia="zh-CN"/>
    </w:rPr>
  </w:style>
  <w:style w:type="character" w:customStyle="1" w:styleId="169">
    <w:name w:val="标题 31"/>
    <w:qFormat/>
    <w:uiPriority w:val="0"/>
    <w:rPr>
      <w:rFonts w:ascii="宋体" w:hAnsi="Arial" w:eastAsia="宋体"/>
      <w:kern w:val="2"/>
      <w:sz w:val="24"/>
      <w:lang w:val="en-US" w:eastAsia="zh-CN"/>
    </w:rPr>
  </w:style>
  <w:style w:type="character" w:customStyle="1" w:styleId="170">
    <w:name w:val="正文文本缩进 Char1"/>
    <w:link w:val="35"/>
    <w:qFormat/>
    <w:uiPriority w:val="0"/>
    <w:rPr>
      <w:rFonts w:ascii="宋体" w:hAnsi="宋体" w:eastAsia="宋体"/>
      <w:kern w:val="2"/>
      <w:sz w:val="24"/>
      <w:lang w:val="en-US" w:eastAsia="zh-CN"/>
    </w:rPr>
  </w:style>
  <w:style w:type="paragraph" w:customStyle="1" w:styleId="171">
    <w:name w:val="招标文件1.1"/>
    <w:qFormat/>
    <w:uiPriority w:val="0"/>
    <w:pPr>
      <w:tabs>
        <w:tab w:val="left" w:pos="630"/>
      </w:tabs>
      <w:spacing w:before="120" w:after="120" w:line="480" w:lineRule="exact"/>
      <w:ind w:left="200" w:hanging="482"/>
      <w:outlineLvl w:val="2"/>
    </w:pPr>
    <w:rPr>
      <w:rFonts w:ascii="宋体" w:hAnsi="Times New Roman" w:eastAsia="宋体" w:cs="Times New Roman"/>
      <w:b/>
      <w:spacing w:val="10"/>
      <w:w w:val="95"/>
      <w:sz w:val="24"/>
      <w:lang w:val="en-US" w:eastAsia="zh-CN" w:bidi="ar-SA"/>
    </w:rPr>
  </w:style>
  <w:style w:type="paragraph" w:customStyle="1" w:styleId="172">
    <w:name w:val="样式a"/>
    <w:qFormat/>
    <w:uiPriority w:val="0"/>
    <w:pPr>
      <w:spacing w:line="360" w:lineRule="auto"/>
      <w:ind w:left="709" w:hanging="482"/>
    </w:pPr>
    <w:rPr>
      <w:rFonts w:ascii="Times New Roman" w:hAnsi="Times New Roman" w:eastAsia="宋体" w:cs="Times New Roman"/>
      <w:sz w:val="24"/>
      <w:lang w:val="en-US" w:eastAsia="zh-CN" w:bidi="ar-SA"/>
    </w:rPr>
  </w:style>
  <w:style w:type="paragraph" w:customStyle="1" w:styleId="173">
    <w:name w:val="xl82"/>
    <w:basedOn w:val="1"/>
    <w:qFormat/>
    <w:uiPriority w:val="0"/>
    <w:pPr>
      <w:widowControl/>
      <w:pBdr>
        <w:top w:val="single" w:color="auto" w:sz="4" w:space="0"/>
        <w:left w:val="single" w:color="auto" w:sz="8" w:space="0"/>
        <w:bottom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174">
    <w:name w:val="xl62"/>
    <w:basedOn w:val="1"/>
    <w:qFormat/>
    <w:uiPriority w:val="0"/>
    <w:pPr>
      <w:widowControl/>
      <w:pBdr>
        <w:top w:val="single" w:color="auto" w:sz="4" w:space="0"/>
        <w:left w:val="single" w:color="auto" w:sz="8" w:space="0"/>
        <w:right w:val="single" w:color="auto" w:sz="8" w:space="0"/>
      </w:pBdr>
      <w:spacing w:before="100" w:beforeAutospacing="1" w:after="100" w:afterAutospacing="1" w:line="240" w:lineRule="auto"/>
      <w:jc w:val="center"/>
      <w:textAlignment w:val="bottom"/>
    </w:pPr>
    <w:rPr>
      <w:rFonts w:ascii="宋体" w:hAnsi="宋体"/>
      <w:kern w:val="0"/>
      <w:sz w:val="20"/>
    </w:rPr>
  </w:style>
  <w:style w:type="paragraph" w:customStyle="1" w:styleId="175">
    <w:name w:val="样式3-13"/>
    <w:basedOn w:val="176"/>
    <w:qFormat/>
    <w:uiPriority w:val="0"/>
    <w:pPr>
      <w:tabs>
        <w:tab w:val="left" w:pos="901"/>
        <w:tab w:val="left" w:pos="1134"/>
      </w:tabs>
    </w:pPr>
  </w:style>
  <w:style w:type="paragraph" w:customStyle="1" w:styleId="176">
    <w:name w:val="样式3-12"/>
    <w:basedOn w:val="177"/>
    <w:qFormat/>
    <w:uiPriority w:val="0"/>
    <w:pPr>
      <w:tabs>
        <w:tab w:val="left" w:pos="901"/>
        <w:tab w:val="left" w:pos="1134"/>
      </w:tabs>
      <w:ind w:left="1134" w:hanging="567"/>
    </w:pPr>
  </w:style>
  <w:style w:type="paragraph" w:customStyle="1" w:styleId="177">
    <w:name w:val="样式3-10"/>
    <w:basedOn w:val="1"/>
    <w:qFormat/>
    <w:uiPriority w:val="0"/>
    <w:pPr>
      <w:keepNext/>
      <w:outlineLvl w:val="2"/>
    </w:pPr>
    <w:rPr>
      <w:rFonts w:ascii="仿宋_GB2312" w:hAnsi="宋体" w:eastAsia="仿宋_GB2312"/>
      <w:b/>
      <w:kern w:val="28"/>
      <w:sz w:val="28"/>
    </w:rPr>
  </w:style>
  <w:style w:type="paragraph" w:customStyle="1" w:styleId="178">
    <w:name w:val="xl81"/>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179">
    <w:name w:val="样式17"/>
    <w:basedOn w:val="180"/>
    <w:qFormat/>
    <w:uiPriority w:val="0"/>
    <w:pPr>
      <w:keepLines w:val="0"/>
      <w:widowControl w:val="0"/>
      <w:suppressLineNumbers w:val="0"/>
      <w:tabs>
        <w:tab w:val="left" w:pos="1134"/>
      </w:tabs>
      <w:suppressAutoHyphens w:val="0"/>
      <w:spacing w:line="522" w:lineRule="exact"/>
    </w:pPr>
    <w:rPr>
      <w:rFonts w:ascii="Times New Roman"/>
    </w:rPr>
  </w:style>
  <w:style w:type="paragraph" w:customStyle="1" w:styleId="180">
    <w:name w:val="样式3-16"/>
    <w:basedOn w:val="181"/>
    <w:qFormat/>
    <w:uiPriority w:val="0"/>
    <w:pPr>
      <w:tabs>
        <w:tab w:val="left" w:pos="1134"/>
      </w:tabs>
      <w:ind w:left="1134" w:hanging="567"/>
    </w:pPr>
  </w:style>
  <w:style w:type="paragraph" w:customStyle="1" w:styleId="181">
    <w:name w:val="样式3-15"/>
    <w:basedOn w:val="182"/>
    <w:qFormat/>
    <w:uiPriority w:val="0"/>
    <w:pPr>
      <w:tabs>
        <w:tab w:val="left" w:pos="1134"/>
      </w:tabs>
      <w:ind w:left="0" w:firstLine="0"/>
    </w:pPr>
  </w:style>
  <w:style w:type="paragraph" w:customStyle="1" w:styleId="182">
    <w:name w:val="样式3-24"/>
    <w:basedOn w:val="183"/>
    <w:qFormat/>
    <w:uiPriority w:val="0"/>
    <w:pPr>
      <w:tabs>
        <w:tab w:val="left" w:pos="1134"/>
      </w:tabs>
    </w:pPr>
  </w:style>
  <w:style w:type="paragraph" w:customStyle="1" w:styleId="183">
    <w:name w:val="样式3-19"/>
    <w:basedOn w:val="184"/>
    <w:qFormat/>
    <w:uiPriority w:val="0"/>
    <w:pPr>
      <w:tabs>
        <w:tab w:val="left" w:pos="1134"/>
      </w:tabs>
    </w:pPr>
  </w:style>
  <w:style w:type="paragraph" w:customStyle="1" w:styleId="184">
    <w:name w:val="样式3-18"/>
    <w:basedOn w:val="185"/>
    <w:qFormat/>
    <w:uiPriority w:val="0"/>
    <w:pPr>
      <w:tabs>
        <w:tab w:val="left" w:pos="1134"/>
      </w:tabs>
      <w:ind w:left="1134" w:hanging="567"/>
      <w:jc w:val="left"/>
    </w:pPr>
    <w:rPr>
      <w:b/>
    </w:rPr>
  </w:style>
  <w:style w:type="paragraph" w:customStyle="1" w:styleId="185">
    <w:name w:val="样式3-4"/>
    <w:basedOn w:val="1"/>
    <w:qFormat/>
    <w:uiPriority w:val="0"/>
    <w:pPr>
      <w:keepNext/>
      <w:keepLines/>
      <w:widowControl/>
      <w:suppressLineNumbers/>
      <w:suppressAutoHyphens/>
      <w:snapToGrid w:val="0"/>
      <w:jc w:val="center"/>
    </w:pPr>
    <w:rPr>
      <w:rFonts w:ascii="宋体" w:hAnsi="宋体"/>
      <w:snapToGrid w:val="0"/>
      <w:color w:val="FF0000"/>
      <w:spacing w:val="6"/>
      <w:kern w:val="28"/>
      <w:sz w:val="28"/>
    </w:rPr>
  </w:style>
  <w:style w:type="paragraph" w:customStyle="1" w:styleId="186">
    <w:name w:val="技术标题3"/>
    <w:basedOn w:val="7"/>
    <w:qFormat/>
    <w:uiPriority w:val="0"/>
    <w:pPr>
      <w:keepNext w:val="0"/>
      <w:keepLines w:val="0"/>
      <w:numPr>
        <w:ilvl w:val="0"/>
        <w:numId w:val="0"/>
      </w:numPr>
      <w:adjustRightInd w:val="0"/>
      <w:snapToGrid w:val="0"/>
      <w:spacing w:before="100" w:after="100" w:line="240" w:lineRule="auto"/>
      <w:ind w:firstLine="482" w:firstLineChars="200"/>
    </w:pPr>
    <w:rPr>
      <w:rFonts w:ascii="Times New Roman" w:hAnsi="Times New Roman"/>
      <w:b/>
      <w:snapToGrid w:val="0"/>
      <w:lang w:val="en-US"/>
    </w:rPr>
  </w:style>
  <w:style w:type="paragraph" w:customStyle="1" w:styleId="187">
    <w:name w:val="qw"/>
    <w:qFormat/>
    <w:uiPriority w:val="0"/>
    <w:pPr>
      <w:widowControl w:val="0"/>
      <w:adjustRightInd w:val="0"/>
      <w:spacing w:line="312" w:lineRule="atLeast"/>
      <w:ind w:left="709" w:hanging="482"/>
      <w:jc w:val="both"/>
      <w:textAlignment w:val="baseline"/>
    </w:pPr>
    <w:rPr>
      <w:rFonts w:ascii="宋体" w:hAnsi="Times New Roman" w:eastAsia="宋体" w:cs="Times New Roman"/>
      <w:sz w:val="24"/>
      <w:lang w:val="en-US" w:eastAsia="zh-CN" w:bidi="ar-SA"/>
    </w:rPr>
  </w:style>
  <w:style w:type="paragraph" w:customStyle="1" w:styleId="188">
    <w:name w:val="表格内文"/>
    <w:basedOn w:val="1"/>
    <w:qFormat/>
    <w:uiPriority w:val="0"/>
    <w:pPr>
      <w:overflowPunct w:val="0"/>
      <w:adjustRightInd w:val="0"/>
      <w:snapToGrid w:val="0"/>
      <w:spacing w:line="240" w:lineRule="atLeast"/>
    </w:pPr>
    <w:rPr>
      <w:rFonts w:ascii="宋体"/>
      <w:snapToGrid w:val="0"/>
      <w:kern w:val="0"/>
      <w:sz w:val="21"/>
    </w:rPr>
  </w:style>
  <w:style w:type="paragraph" w:customStyle="1" w:styleId="18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Verdana" w:hAnsi="Verdana"/>
      <w:kern w:val="0"/>
    </w:rPr>
  </w:style>
  <w:style w:type="paragraph" w:customStyle="1" w:styleId="190">
    <w:name w:val="投标标题2"/>
    <w:qFormat/>
    <w:uiPriority w:val="0"/>
    <w:pPr>
      <w:tabs>
        <w:tab w:val="left" w:pos="360"/>
      </w:tabs>
      <w:spacing w:line="520" w:lineRule="exact"/>
      <w:ind w:left="709" w:hanging="482"/>
    </w:pPr>
    <w:rPr>
      <w:rFonts w:ascii="Times New Roman" w:hAnsi="Times New Roman" w:eastAsia="黑体" w:cs="Times New Roman"/>
      <w:sz w:val="26"/>
      <w:lang w:val="en-US" w:eastAsia="zh-CN" w:bidi="ar-SA"/>
    </w:rPr>
  </w:style>
  <w:style w:type="paragraph" w:customStyle="1" w:styleId="191">
    <w:name w:val="PLC"/>
    <w:basedOn w:val="1"/>
    <w:next w:val="1"/>
    <w:qFormat/>
    <w:uiPriority w:val="0"/>
    <w:pPr>
      <w:widowControl/>
      <w:spacing w:line="240" w:lineRule="auto"/>
    </w:pPr>
    <w:rPr>
      <w:rFonts w:ascii="Arial" w:hAnsi="Arial"/>
      <w:kern w:val="0"/>
      <w:sz w:val="22"/>
      <w:lang w:eastAsia="en-US"/>
    </w:rPr>
  </w:style>
  <w:style w:type="paragraph" w:customStyle="1" w:styleId="192">
    <w:name w:val="表格文字"/>
    <w:basedOn w:val="1"/>
    <w:link w:val="1284"/>
    <w:qFormat/>
    <w:uiPriority w:val="0"/>
    <w:pPr>
      <w:spacing w:line="240" w:lineRule="auto"/>
      <w:jc w:val="center"/>
    </w:pPr>
    <w:rPr>
      <w:sz w:val="21"/>
      <w:lang w:val="zh-CN"/>
    </w:rPr>
  </w:style>
  <w:style w:type="paragraph" w:customStyle="1" w:styleId="193">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Verdana" w:hAnsi="Verdana"/>
      <w:kern w:val="0"/>
    </w:rPr>
  </w:style>
  <w:style w:type="paragraph" w:customStyle="1" w:styleId="194">
    <w:name w:val="Sub title 1"/>
    <w:basedOn w:val="195"/>
    <w:qFormat/>
    <w:uiPriority w:val="0"/>
    <w:pPr>
      <w:tabs>
        <w:tab w:val="left" w:pos="1304"/>
      </w:tabs>
      <w:ind w:left="1304" w:hanging="170"/>
    </w:pPr>
    <w:rPr>
      <w:color w:val="auto"/>
    </w:rPr>
  </w:style>
  <w:style w:type="paragraph" w:customStyle="1" w:styleId="195">
    <w:name w:val="正文文本1"/>
    <w:qFormat/>
    <w:uiPriority w:val="0"/>
    <w:pPr>
      <w:widowControl w:val="0"/>
      <w:autoSpaceDE w:val="0"/>
      <w:autoSpaceDN w:val="0"/>
      <w:adjustRightInd w:val="0"/>
      <w:spacing w:before="170" w:line="300" w:lineRule="atLeast"/>
      <w:ind w:left="1134" w:hanging="482"/>
      <w:jc w:val="both"/>
    </w:pPr>
    <w:rPr>
      <w:rFonts w:ascii="Times New Roman" w:hAnsi="Times New Roman" w:eastAsia="宋体" w:cs="Times New Roman"/>
      <w:color w:val="000000"/>
      <w:sz w:val="24"/>
      <w:lang w:val="en-US" w:eastAsia="zh-CN" w:bidi="ar-SA"/>
    </w:rPr>
  </w:style>
  <w:style w:type="paragraph" w:customStyle="1" w:styleId="196">
    <w:name w:val="标题4111"/>
    <w:basedOn w:val="6"/>
    <w:qFormat/>
    <w:uiPriority w:val="0"/>
    <w:pPr>
      <w:numPr>
        <w:ilvl w:val="0"/>
        <w:numId w:val="0"/>
      </w:numPr>
      <w:tabs>
        <w:tab w:val="left" w:pos="639"/>
        <w:tab w:val="left" w:pos="1680"/>
      </w:tabs>
    </w:pPr>
    <w:rPr>
      <w:rFonts w:hAnsi="宋体"/>
      <w:kern w:val="0"/>
      <w:sz w:val="28"/>
      <w:lang w:val="en-US"/>
    </w:rPr>
  </w:style>
  <w:style w:type="paragraph" w:customStyle="1" w:styleId="197">
    <w:name w:val="Char Char1 Char Char"/>
    <w:basedOn w:val="1"/>
    <w:qFormat/>
    <w:uiPriority w:val="0"/>
    <w:pPr>
      <w:keepNext/>
      <w:keepLines/>
      <w:widowControl/>
      <w:ind w:firstLine="200" w:firstLineChars="200"/>
    </w:pPr>
    <w:rPr>
      <w:rFonts w:ascii="Tahoma" w:hAnsi="Tahoma"/>
    </w:rPr>
  </w:style>
  <w:style w:type="paragraph" w:customStyle="1" w:styleId="198">
    <w:name w:val="xl57"/>
    <w:basedOn w:val="1"/>
    <w:qFormat/>
    <w:uiPriority w:val="0"/>
    <w:pPr>
      <w:widowControl/>
      <w:pBdr>
        <w:bottom w:val="double" w:color="auto" w:sz="6" w:space="0"/>
        <w:right w:val="double" w:color="auto" w:sz="6" w:space="0"/>
      </w:pBdr>
      <w:spacing w:before="100" w:beforeAutospacing="1" w:after="100" w:afterAutospacing="1" w:line="240" w:lineRule="auto"/>
      <w:jc w:val="center"/>
    </w:pPr>
    <w:rPr>
      <w:rFonts w:ascii="Arial Unicode MS" w:hAnsi="Arial Unicode MS"/>
      <w:kern w:val="0"/>
      <w:sz w:val="16"/>
    </w:rPr>
  </w:style>
  <w:style w:type="paragraph" w:customStyle="1" w:styleId="199">
    <w:name w:val="CellBodyCenter"/>
    <w:basedOn w:val="1"/>
    <w:qFormat/>
    <w:uiPriority w:val="0"/>
    <w:pPr>
      <w:widowControl/>
      <w:overflowPunct w:val="0"/>
      <w:autoSpaceDE w:val="0"/>
      <w:autoSpaceDN w:val="0"/>
      <w:adjustRightInd w:val="0"/>
      <w:spacing w:before="60" w:after="60"/>
      <w:ind w:firstLine="540"/>
      <w:jc w:val="center"/>
      <w:textAlignment w:val="baseline"/>
    </w:pPr>
    <w:rPr>
      <w:rFonts w:ascii="Arial" w:hAnsi="Arial" w:eastAsia="仿宋_GB2312"/>
      <w:color w:val="000000"/>
      <w:kern w:val="0"/>
      <w:sz w:val="22"/>
    </w:rPr>
  </w:style>
  <w:style w:type="paragraph" w:customStyle="1" w:styleId="200">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Verdana" w:hAnsi="Verdana"/>
      <w:kern w:val="0"/>
    </w:rPr>
  </w:style>
  <w:style w:type="paragraph" w:customStyle="1" w:styleId="201">
    <w:name w:val="标题111"/>
    <w:basedOn w:val="1"/>
    <w:qFormat/>
    <w:uiPriority w:val="0"/>
    <w:pPr>
      <w:keepNext/>
      <w:keepLines/>
      <w:widowControl/>
      <w:suppressLineNumbers/>
      <w:tabs>
        <w:tab w:val="left" w:pos="1134"/>
      </w:tabs>
      <w:suppressAutoHyphens/>
      <w:spacing w:before="156" w:beforeLines="50"/>
      <w:ind w:left="1134" w:hanging="567"/>
    </w:pPr>
    <w:rPr>
      <w:rFonts w:ascii="仿宋_GB2312" w:eastAsia="仿宋_GB2312"/>
      <w:b/>
      <w:kern w:val="28"/>
      <w:sz w:val="28"/>
    </w:rPr>
  </w:style>
  <w:style w:type="paragraph" w:customStyle="1" w:styleId="202">
    <w:name w:val="main"/>
    <w:basedOn w:val="1"/>
    <w:qFormat/>
    <w:uiPriority w:val="0"/>
    <w:pPr>
      <w:widowControl/>
      <w:spacing w:before="100" w:beforeAutospacing="1" w:after="100" w:afterAutospacing="1" w:line="240" w:lineRule="auto"/>
    </w:pPr>
    <w:rPr>
      <w:rFonts w:ascii="宋体" w:hAnsi="宋体"/>
      <w:color w:val="000000"/>
      <w:kern w:val="0"/>
    </w:rPr>
  </w:style>
  <w:style w:type="paragraph" w:customStyle="1" w:styleId="203">
    <w:name w:val="zLabel6p3bL"/>
    <w:basedOn w:val="204"/>
    <w:qFormat/>
    <w:uiPriority w:val="0"/>
    <w:pPr>
      <w:spacing w:before="60"/>
    </w:pPr>
  </w:style>
  <w:style w:type="paragraph" w:customStyle="1" w:styleId="204">
    <w:name w:val="zLabel6p0bL"/>
    <w:qFormat/>
    <w:uiPriority w:val="0"/>
    <w:pPr>
      <w:spacing w:line="360" w:lineRule="auto"/>
      <w:ind w:left="28" w:right="57" w:hanging="482"/>
    </w:pPr>
    <w:rPr>
      <w:rFonts w:ascii="Arial" w:hAnsi="Arial" w:eastAsia="宋体" w:cs="Times New Roman"/>
      <w:sz w:val="12"/>
      <w:lang w:val="en-US" w:eastAsia="en-US" w:bidi="ar-SA"/>
    </w:rPr>
  </w:style>
  <w:style w:type="paragraph" w:customStyle="1" w:styleId="205">
    <w:name w:val="xl79"/>
    <w:basedOn w:val="1"/>
    <w:qFormat/>
    <w:uiPriority w:val="0"/>
    <w:pPr>
      <w:widowControl/>
      <w:pBdr>
        <w:top w:val="single" w:color="auto" w:sz="4" w:space="0"/>
        <w:left w:val="single" w:color="auto" w:sz="8" w:space="0"/>
        <w:bottom w:val="single" w:color="auto" w:sz="4"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206">
    <w:name w:val="S02-Definitions and Abbreviations"/>
    <w:basedOn w:val="1"/>
    <w:next w:val="1"/>
    <w:qFormat/>
    <w:uiPriority w:val="0"/>
    <w:pPr>
      <w:widowControl/>
      <w:spacing w:line="240" w:lineRule="auto"/>
    </w:pPr>
    <w:rPr>
      <w:rFonts w:ascii="Arial" w:hAnsi="Arial"/>
      <w:kern w:val="0"/>
      <w:sz w:val="22"/>
      <w:lang w:eastAsia="en-US"/>
    </w:rPr>
  </w:style>
  <w:style w:type="paragraph" w:customStyle="1" w:styleId="207">
    <w:name w:val="xl63"/>
    <w:basedOn w:val="1"/>
    <w:qFormat/>
    <w:uiPriority w:val="0"/>
    <w:pPr>
      <w:widowControl/>
      <w:pBdr>
        <w:top w:val="single" w:color="auto" w:sz="4" w:space="0"/>
        <w:left w:val="single" w:color="auto" w:sz="8"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208">
    <w:name w:val="正文编号（1）"/>
    <w:basedOn w:val="1"/>
    <w:qFormat/>
    <w:uiPriority w:val="0"/>
    <w:pPr>
      <w:tabs>
        <w:tab w:val="left" w:leader="dot" w:pos="1701"/>
        <w:tab w:val="left" w:pos="9072"/>
      </w:tabs>
      <w:adjustRightInd w:val="0"/>
      <w:snapToGrid w:val="0"/>
      <w:spacing w:before="120" w:after="120" w:line="360" w:lineRule="atLeast"/>
      <w:ind w:left="2342" w:hanging="641"/>
    </w:pPr>
    <w:rPr>
      <w:kern w:val="21"/>
      <w:sz w:val="21"/>
    </w:rPr>
  </w:style>
  <w:style w:type="paragraph" w:customStyle="1" w:styleId="209">
    <w:name w:val="Default"/>
    <w:qFormat/>
    <w:uiPriority w:val="0"/>
    <w:pPr>
      <w:autoSpaceDE w:val="0"/>
      <w:autoSpaceDN w:val="0"/>
      <w:adjustRightInd w:val="0"/>
      <w:spacing w:line="360" w:lineRule="auto"/>
      <w:ind w:left="709" w:hanging="482"/>
    </w:pPr>
    <w:rPr>
      <w:rFonts w:ascii="Times New Roman" w:hAnsi="Times New Roman" w:eastAsia="宋体" w:cs="Times New Roman"/>
      <w:color w:val="000000"/>
      <w:sz w:val="24"/>
      <w:lang w:val="en-US" w:eastAsia="en-US" w:bidi="ar-SA"/>
    </w:rPr>
  </w:style>
  <w:style w:type="paragraph" w:customStyle="1" w:styleId="210">
    <w:name w:val="xl61"/>
    <w:basedOn w:val="1"/>
    <w:qFormat/>
    <w:uiPriority w:val="0"/>
    <w:pPr>
      <w:widowControl/>
      <w:pBdr>
        <w:top w:val="single" w:color="auto" w:sz="4" w:space="0"/>
        <w:left w:val="single" w:color="auto" w:sz="8" w:space="0"/>
        <w:right w:val="single" w:color="auto" w:sz="8" w:space="0"/>
      </w:pBdr>
      <w:spacing w:before="100" w:beforeAutospacing="1" w:after="100" w:afterAutospacing="1" w:line="240" w:lineRule="auto"/>
      <w:jc w:val="center"/>
      <w:textAlignment w:val="bottom"/>
    </w:pPr>
    <w:rPr>
      <w:kern w:val="0"/>
      <w:sz w:val="20"/>
    </w:rPr>
  </w:style>
  <w:style w:type="paragraph" w:customStyle="1" w:styleId="211">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212">
    <w:name w:val="样式3-6"/>
    <w:basedOn w:val="1"/>
    <w:qFormat/>
    <w:uiPriority w:val="0"/>
    <w:pPr>
      <w:keepNext/>
      <w:keepLines/>
      <w:widowControl/>
      <w:suppressLineNumbers/>
      <w:tabs>
        <w:tab w:val="left" w:pos="1134"/>
      </w:tabs>
      <w:suppressAutoHyphens/>
      <w:ind w:left="1134" w:hanging="567"/>
      <w:jc w:val="center"/>
    </w:pPr>
    <w:rPr>
      <w:rFonts w:ascii="仿宋_GB2312" w:eastAsia="仿宋_GB2312"/>
      <w:kern w:val="28"/>
      <w:sz w:val="28"/>
    </w:rPr>
  </w:style>
  <w:style w:type="paragraph" w:customStyle="1" w:styleId="213">
    <w:name w:val="h4tkstoo"/>
    <w:basedOn w:val="1"/>
    <w:qFormat/>
    <w:uiPriority w:val="0"/>
    <w:pPr>
      <w:widowControl/>
      <w:spacing w:before="120" w:after="240" w:line="240" w:lineRule="auto"/>
      <w:ind w:left="1134" w:right="397"/>
    </w:pPr>
    <w:rPr>
      <w:rFonts w:ascii="Arial" w:hAnsi="Arial"/>
      <w:b/>
      <w:kern w:val="0"/>
      <w:sz w:val="22"/>
      <w:lang w:val="en-GB"/>
    </w:rPr>
  </w:style>
  <w:style w:type="paragraph" w:customStyle="1" w:styleId="214">
    <w:name w:val="目录 31"/>
    <w:basedOn w:val="1"/>
    <w:next w:val="1"/>
    <w:qFormat/>
    <w:uiPriority w:val="39"/>
    <w:pPr>
      <w:ind w:left="480"/>
    </w:pPr>
    <w:rPr>
      <w:i/>
      <w:sz w:val="20"/>
    </w:rPr>
  </w:style>
  <w:style w:type="paragraph" w:customStyle="1" w:styleId="215">
    <w:name w:val="通用"/>
    <w:basedOn w:val="1"/>
    <w:qFormat/>
    <w:uiPriority w:val="0"/>
    <w:pPr>
      <w:tabs>
        <w:tab w:val="left" w:pos="735"/>
        <w:tab w:val="left" w:pos="840"/>
        <w:tab w:val="left" w:pos="1050"/>
      </w:tabs>
      <w:spacing w:after="312" w:line="240" w:lineRule="auto"/>
      <w:ind w:left="840" w:hanging="840"/>
    </w:pPr>
    <w:rPr>
      <w:sz w:val="21"/>
    </w:rPr>
  </w:style>
  <w:style w:type="paragraph" w:customStyle="1" w:styleId="216">
    <w:name w:val="样式29"/>
    <w:basedOn w:val="217"/>
    <w:qFormat/>
    <w:uiPriority w:val="0"/>
    <w:pPr>
      <w:tabs>
        <w:tab w:val="left" w:pos="360"/>
        <w:tab w:val="left" w:pos="1134"/>
      </w:tabs>
      <w:ind w:left="0" w:firstLine="0"/>
    </w:pPr>
  </w:style>
  <w:style w:type="paragraph" w:customStyle="1" w:styleId="217">
    <w:name w:val="样式24"/>
    <w:basedOn w:val="218"/>
    <w:qFormat/>
    <w:uiPriority w:val="0"/>
    <w:pPr>
      <w:tabs>
        <w:tab w:val="left" w:pos="360"/>
        <w:tab w:val="left" w:pos="1134"/>
      </w:tabs>
      <w:ind w:left="1134"/>
      <w:jc w:val="left"/>
    </w:pPr>
  </w:style>
  <w:style w:type="paragraph" w:customStyle="1" w:styleId="218">
    <w:name w:val="样式19"/>
    <w:basedOn w:val="1"/>
    <w:qFormat/>
    <w:uiPriority w:val="0"/>
    <w:pPr>
      <w:keepNext/>
      <w:tabs>
        <w:tab w:val="left" w:pos="360"/>
      </w:tabs>
      <w:ind w:left="-546" w:hanging="567"/>
      <w:jc w:val="center"/>
    </w:pPr>
    <w:rPr>
      <w:rFonts w:eastAsia="仿宋_GB2312"/>
      <w:b/>
      <w:kern w:val="28"/>
      <w:sz w:val="28"/>
    </w:rPr>
  </w:style>
  <w:style w:type="paragraph" w:customStyle="1" w:styleId="219">
    <w:name w:val="方案标题2"/>
    <w:next w:val="1"/>
    <w:qFormat/>
    <w:uiPriority w:val="0"/>
    <w:pPr>
      <w:keepNext/>
      <w:widowControl w:val="0"/>
      <w:adjustRightInd w:val="0"/>
      <w:snapToGrid w:val="0"/>
      <w:spacing w:before="156" w:beforeLines="50" w:line="440" w:lineRule="exact"/>
      <w:ind w:left="709" w:hanging="482"/>
      <w:outlineLvl w:val="1"/>
    </w:pPr>
    <w:rPr>
      <w:rFonts w:ascii="Times New Roman" w:hAnsi="Times New Roman" w:eastAsia="黑体" w:cs="Times New Roman"/>
      <w:b/>
      <w:sz w:val="28"/>
      <w:lang w:val="en-US" w:eastAsia="zh-CN" w:bidi="ar-SA"/>
    </w:rPr>
  </w:style>
  <w:style w:type="paragraph" w:customStyle="1" w:styleId="220">
    <w:name w:val="目录 81"/>
    <w:basedOn w:val="1"/>
    <w:next w:val="1"/>
    <w:qFormat/>
    <w:uiPriority w:val="39"/>
    <w:pPr>
      <w:ind w:left="1680"/>
    </w:pPr>
    <w:rPr>
      <w:sz w:val="18"/>
    </w:rPr>
  </w:style>
  <w:style w:type="paragraph" w:customStyle="1" w:styleId="221">
    <w:name w:val="font9"/>
    <w:basedOn w:val="1"/>
    <w:qFormat/>
    <w:uiPriority w:val="0"/>
    <w:pPr>
      <w:widowControl/>
      <w:spacing w:before="100" w:beforeAutospacing="1" w:after="100" w:afterAutospacing="1" w:line="240" w:lineRule="auto"/>
    </w:pPr>
    <w:rPr>
      <w:rFonts w:ascii="Verdana" w:hAnsi="Verdana"/>
      <w:kern w:val="0"/>
      <w:sz w:val="16"/>
    </w:rPr>
  </w:style>
  <w:style w:type="paragraph" w:customStyle="1" w:styleId="222">
    <w:name w:val="标书正文(0.3 缩进两字)"/>
    <w:basedOn w:val="223"/>
    <w:qFormat/>
    <w:uiPriority w:val="0"/>
    <w:pPr>
      <w:ind w:firstLine="504"/>
    </w:pPr>
  </w:style>
  <w:style w:type="paragraph" w:customStyle="1" w:styleId="223">
    <w:name w:val="样式 标书正文 + 海绿 首行缩进:  2 字符"/>
    <w:basedOn w:val="124"/>
    <w:qFormat/>
    <w:uiPriority w:val="0"/>
    <w:rPr>
      <w:rFonts w:ascii="宋体"/>
      <w:spacing w:val="6"/>
      <w:kern w:val="0"/>
    </w:rPr>
  </w:style>
  <w:style w:type="paragraph" w:customStyle="1" w:styleId="224">
    <w:name w:val="Access.FOX"/>
    <w:basedOn w:val="1"/>
    <w:next w:val="1"/>
    <w:qFormat/>
    <w:uiPriority w:val="0"/>
    <w:pPr>
      <w:widowControl/>
      <w:spacing w:line="240" w:lineRule="auto"/>
    </w:pPr>
    <w:rPr>
      <w:rFonts w:ascii="Arial" w:hAnsi="Arial"/>
      <w:kern w:val="0"/>
      <w:sz w:val="22"/>
      <w:lang w:eastAsia="en-US"/>
    </w:rPr>
  </w:style>
  <w:style w:type="paragraph" w:customStyle="1" w:styleId="225">
    <w:name w:val="标书正文1"/>
    <w:basedOn w:val="1"/>
    <w:qFormat/>
    <w:uiPriority w:val="0"/>
    <w:pPr>
      <w:tabs>
        <w:tab w:val="left" w:pos="5730"/>
        <w:tab w:val="left" w:pos="8280"/>
      </w:tabs>
      <w:adjustRightInd w:val="0"/>
      <w:snapToGrid w:val="0"/>
      <w:ind w:firstLine="310" w:firstLineChars="147"/>
    </w:pPr>
    <w:rPr>
      <w:b/>
      <w:sz w:val="21"/>
    </w:rPr>
  </w:style>
  <w:style w:type="paragraph" w:customStyle="1" w:styleId="226">
    <w:name w:val="Char Char Char Char Char Char1 Char Char Char Char"/>
    <w:basedOn w:val="26"/>
    <w:qFormat/>
    <w:uiPriority w:val="0"/>
    <w:pPr>
      <w:adjustRightInd w:val="0"/>
      <w:spacing w:line="436" w:lineRule="exact"/>
      <w:ind w:left="357"/>
      <w:outlineLvl w:val="3"/>
    </w:pPr>
    <w:rPr>
      <w:rFonts w:ascii="Tahoma" w:hAnsi="Tahoma"/>
      <w:b/>
    </w:rPr>
  </w:style>
  <w:style w:type="paragraph" w:customStyle="1" w:styleId="227">
    <w:name w:val="xl67"/>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228">
    <w:name w:val="样式3-20"/>
    <w:basedOn w:val="229"/>
    <w:qFormat/>
    <w:uiPriority w:val="0"/>
    <w:pPr>
      <w:tabs>
        <w:tab w:val="left" w:pos="1134"/>
      </w:tabs>
      <w:jc w:val="left"/>
    </w:pPr>
    <w:rPr>
      <w:b/>
    </w:rPr>
  </w:style>
  <w:style w:type="paragraph" w:customStyle="1" w:styleId="229">
    <w:name w:val="样式3-3"/>
    <w:basedOn w:val="1"/>
    <w:qFormat/>
    <w:uiPriority w:val="0"/>
    <w:pPr>
      <w:keepNext/>
      <w:keepLines/>
      <w:widowControl/>
      <w:suppressLineNumbers/>
      <w:tabs>
        <w:tab w:val="left" w:pos="1134"/>
      </w:tabs>
      <w:suppressAutoHyphens/>
      <w:ind w:left="1134" w:hanging="567"/>
      <w:jc w:val="center"/>
    </w:pPr>
    <w:rPr>
      <w:rFonts w:ascii="仿宋_GB2312" w:eastAsia="仿宋_GB2312"/>
      <w:kern w:val="28"/>
      <w:sz w:val="28"/>
    </w:rPr>
  </w:style>
  <w:style w:type="paragraph" w:customStyle="1" w:styleId="230">
    <w:name w:val="正文四号字"/>
    <w:basedOn w:val="1"/>
    <w:qFormat/>
    <w:uiPriority w:val="0"/>
    <w:pPr>
      <w:adjustRightInd w:val="0"/>
      <w:spacing w:line="312" w:lineRule="atLeast"/>
      <w:textAlignment w:val="baseline"/>
    </w:pPr>
    <w:rPr>
      <w:rFonts w:ascii="宋体"/>
      <w:spacing w:val="5"/>
      <w:kern w:val="0"/>
      <w:sz w:val="28"/>
    </w:rPr>
  </w:style>
  <w:style w:type="paragraph" w:customStyle="1" w:styleId="231">
    <w:name w:val="样式28"/>
    <w:basedOn w:val="232"/>
    <w:qFormat/>
    <w:uiPriority w:val="0"/>
    <w:pPr>
      <w:keepNext w:val="0"/>
      <w:keepLines w:val="0"/>
      <w:widowControl w:val="0"/>
      <w:suppressLineNumbers w:val="0"/>
      <w:tabs>
        <w:tab w:val="left" w:pos="1134"/>
      </w:tabs>
      <w:suppressAutoHyphens w:val="0"/>
      <w:ind w:firstLine="567"/>
    </w:pPr>
    <w:rPr>
      <w:rFonts w:ascii="Times New Roman"/>
      <w:b w:val="0"/>
    </w:rPr>
  </w:style>
  <w:style w:type="paragraph" w:customStyle="1" w:styleId="232">
    <w:name w:val="样式3-26"/>
    <w:basedOn w:val="233"/>
    <w:qFormat/>
    <w:uiPriority w:val="0"/>
    <w:pPr>
      <w:tabs>
        <w:tab w:val="left" w:pos="1134"/>
      </w:tabs>
      <w:ind w:left="0" w:firstLine="0"/>
    </w:pPr>
  </w:style>
  <w:style w:type="paragraph" w:customStyle="1" w:styleId="233">
    <w:name w:val="样式3-25"/>
    <w:basedOn w:val="182"/>
    <w:qFormat/>
    <w:uiPriority w:val="0"/>
  </w:style>
  <w:style w:type="paragraph" w:customStyle="1" w:styleId="234">
    <w:name w:val="样式31"/>
    <w:basedOn w:val="1"/>
    <w:qFormat/>
    <w:uiPriority w:val="0"/>
    <w:pPr>
      <w:keepNext/>
      <w:outlineLvl w:val="2"/>
    </w:pPr>
    <w:rPr>
      <w:rFonts w:hAnsi="宋体" w:eastAsia="仿宋_GB2312"/>
      <w:b/>
      <w:kern w:val="28"/>
      <w:sz w:val="28"/>
    </w:rPr>
  </w:style>
  <w:style w:type="paragraph" w:customStyle="1" w:styleId="235">
    <w:name w:val="样式3-31"/>
    <w:basedOn w:val="236"/>
    <w:qFormat/>
    <w:uiPriority w:val="0"/>
    <w:pPr>
      <w:tabs>
        <w:tab w:val="left" w:pos="1134"/>
      </w:tabs>
    </w:pPr>
  </w:style>
  <w:style w:type="paragraph" w:customStyle="1" w:styleId="236">
    <w:name w:val="样式3-11"/>
    <w:basedOn w:val="1"/>
    <w:qFormat/>
    <w:uiPriority w:val="0"/>
    <w:pPr>
      <w:keepNext/>
      <w:tabs>
        <w:tab w:val="left" w:pos="1134"/>
      </w:tabs>
      <w:ind w:left="1134" w:hanging="567" w:firstLineChars="200"/>
      <w:outlineLvl w:val="2"/>
    </w:pPr>
    <w:rPr>
      <w:rFonts w:ascii="仿宋_GB2312" w:hAnsi="宋体" w:eastAsia="仿宋_GB2312"/>
      <w:b/>
      <w:kern w:val="28"/>
      <w:sz w:val="28"/>
    </w:rPr>
  </w:style>
  <w:style w:type="paragraph" w:customStyle="1" w:styleId="237">
    <w:name w:val="标题11111"/>
    <w:basedOn w:val="3"/>
    <w:qFormat/>
    <w:uiPriority w:val="0"/>
    <w:pPr>
      <w:keepLines w:val="0"/>
      <w:numPr>
        <w:numId w:val="0"/>
      </w:numPr>
      <w:tabs>
        <w:tab w:val="left" w:pos="567"/>
      </w:tabs>
      <w:autoSpaceDE/>
      <w:spacing w:before="0" w:after="0"/>
      <w:ind w:left="567" w:hanging="567"/>
    </w:pPr>
    <w:rPr>
      <w:rFonts w:ascii="仿宋_GB2312" w:hAnsi="宋体" w:eastAsia="仿宋_GB2312"/>
      <w:kern w:val="28"/>
      <w:sz w:val="32"/>
    </w:rPr>
  </w:style>
  <w:style w:type="paragraph" w:customStyle="1" w:styleId="238">
    <w:name w:val="标题311"/>
    <w:basedOn w:val="1"/>
    <w:qFormat/>
    <w:uiPriority w:val="0"/>
    <w:pPr>
      <w:keepNext/>
      <w:spacing w:line="522" w:lineRule="exact"/>
    </w:pPr>
    <w:rPr>
      <w:rFonts w:ascii="宋体" w:hAnsi="宋体"/>
      <w:kern w:val="28"/>
      <w:sz w:val="28"/>
    </w:rPr>
  </w:style>
  <w:style w:type="paragraph" w:customStyle="1" w:styleId="239">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Verdana" w:hAnsi="Verdana"/>
      <w:kern w:val="0"/>
    </w:rPr>
  </w:style>
  <w:style w:type="paragraph" w:customStyle="1" w:styleId="240">
    <w:name w:val="xl9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240" w:lineRule="auto"/>
      <w:jc w:val="center"/>
    </w:pPr>
    <w:rPr>
      <w:rFonts w:ascii="宋体" w:hAnsi="宋体"/>
      <w:b/>
      <w:i/>
      <w:kern w:val="0"/>
      <w:sz w:val="18"/>
    </w:rPr>
  </w:style>
  <w:style w:type="paragraph" w:customStyle="1" w:styleId="241">
    <w:name w:val="h4tkstot"/>
    <w:basedOn w:val="242"/>
    <w:qFormat/>
    <w:uiPriority w:val="0"/>
    <w:pPr>
      <w:ind w:left="1134" w:firstLine="0"/>
    </w:pPr>
  </w:style>
  <w:style w:type="paragraph" w:customStyle="1" w:styleId="242">
    <w:name w:val="h4tksto"/>
    <w:basedOn w:val="1"/>
    <w:qFormat/>
    <w:uiPriority w:val="0"/>
    <w:pPr>
      <w:widowControl/>
      <w:spacing w:before="120" w:line="240" w:lineRule="auto"/>
      <w:ind w:left="1135" w:right="397" w:hanging="284"/>
    </w:pPr>
    <w:rPr>
      <w:rFonts w:ascii="Arial" w:hAnsi="Arial"/>
      <w:kern w:val="0"/>
      <w:sz w:val="22"/>
      <w:lang w:val="en-GB"/>
    </w:rPr>
  </w:style>
  <w:style w:type="paragraph" w:customStyle="1" w:styleId="243">
    <w:name w:val="xl64"/>
    <w:basedOn w:val="1"/>
    <w:qFormat/>
    <w:uiPriority w:val="0"/>
    <w:pPr>
      <w:widowControl/>
      <w:pBdr>
        <w:left w:val="single" w:color="auto" w:sz="8" w:space="0"/>
        <w:bottom w:val="single" w:color="auto" w:sz="4"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244">
    <w:name w:val="zSpace"/>
    <w:qFormat/>
    <w:uiPriority w:val="0"/>
    <w:pPr>
      <w:spacing w:line="360" w:lineRule="auto"/>
      <w:ind w:left="709" w:hanging="482"/>
    </w:pPr>
    <w:rPr>
      <w:rFonts w:ascii="Arial" w:hAnsi="Arial" w:eastAsia="宋体" w:cs="Times New Roman"/>
      <w:sz w:val="8"/>
      <w:lang w:val="en-US" w:eastAsia="en-US" w:bidi="ar-SA"/>
    </w:rPr>
  </w:style>
  <w:style w:type="paragraph" w:customStyle="1" w:styleId="245">
    <w:name w:val="样式23"/>
    <w:basedOn w:val="246"/>
    <w:qFormat/>
    <w:uiPriority w:val="0"/>
    <w:pPr>
      <w:tabs>
        <w:tab w:val="left" w:pos="1134"/>
      </w:tabs>
      <w:spacing w:after="0"/>
    </w:pPr>
  </w:style>
  <w:style w:type="paragraph" w:customStyle="1" w:styleId="246">
    <w:name w:val="样式22"/>
    <w:basedOn w:val="229"/>
    <w:qFormat/>
    <w:uiPriority w:val="0"/>
    <w:pPr>
      <w:keepLines w:val="0"/>
      <w:widowControl w:val="0"/>
      <w:suppressLineNumbers w:val="0"/>
      <w:suppressAutoHyphens w:val="0"/>
      <w:spacing w:after="120"/>
      <w:jc w:val="left"/>
    </w:pPr>
    <w:rPr>
      <w:rFonts w:ascii="Times New Roman"/>
      <w:b/>
    </w:rPr>
  </w:style>
  <w:style w:type="paragraph" w:customStyle="1" w:styleId="247">
    <w:name w:val="Table Text"/>
    <w:link w:val="1229"/>
    <w:qFormat/>
    <w:uiPriority w:val="0"/>
    <w:pPr>
      <w:snapToGrid w:val="0"/>
      <w:spacing w:before="80" w:after="80" w:line="360" w:lineRule="auto"/>
      <w:ind w:left="709" w:hanging="482"/>
    </w:pPr>
    <w:rPr>
      <w:rFonts w:ascii="Arial" w:hAnsi="Arial" w:eastAsia="宋体" w:cs="Times New Roman"/>
      <w:sz w:val="18"/>
      <w:lang w:val="en-US" w:eastAsia="zh-CN" w:bidi="ar-SA"/>
    </w:rPr>
  </w:style>
  <w:style w:type="paragraph" w:customStyle="1" w:styleId="248">
    <w:name w:val="正文2"/>
    <w:basedOn w:val="1"/>
    <w:qFormat/>
    <w:uiPriority w:val="0"/>
    <w:pPr>
      <w:adjustRightInd w:val="0"/>
      <w:spacing w:after="60" w:line="360" w:lineRule="atLeast"/>
      <w:ind w:left="57" w:right="57"/>
      <w:jc w:val="center"/>
      <w:textAlignment w:val="baseline"/>
    </w:pPr>
    <w:rPr>
      <w:rFonts w:ascii="宋体"/>
      <w:kern w:val="0"/>
      <w:sz w:val="21"/>
    </w:rPr>
  </w:style>
  <w:style w:type="paragraph" w:customStyle="1" w:styleId="249">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hint="eastAsia" w:ascii="宋体" w:hAnsi="宋体"/>
      <w:b/>
      <w:kern w:val="0"/>
    </w:rPr>
  </w:style>
  <w:style w:type="paragraph" w:customStyle="1" w:styleId="250">
    <w:name w:val="1.1 概况"/>
    <w:basedOn w:val="4"/>
    <w:qFormat/>
    <w:uiPriority w:val="0"/>
    <w:rPr>
      <w:b w:val="0"/>
    </w:rPr>
  </w:style>
  <w:style w:type="paragraph" w:customStyle="1" w:styleId="251">
    <w:name w:val="样式 样式 Times New Roman 首行缩进:  2 字符 + 首行缩进:  2 字符"/>
    <w:basedOn w:val="1"/>
    <w:qFormat/>
    <w:uiPriority w:val="0"/>
    <w:pPr>
      <w:spacing w:line="560" w:lineRule="exact"/>
      <w:ind w:firstLine="200" w:firstLineChars="200"/>
    </w:pPr>
    <w:rPr>
      <w:sz w:val="28"/>
    </w:rPr>
  </w:style>
  <w:style w:type="paragraph" w:customStyle="1" w:styleId="252">
    <w:name w:val="五号线1"/>
    <w:qFormat/>
    <w:uiPriority w:val="0"/>
    <w:pPr>
      <w:pageBreakBefore/>
      <w:tabs>
        <w:tab w:val="left" w:pos="1385"/>
        <w:tab w:val="left" w:pos="1440"/>
      </w:tabs>
      <w:spacing w:before="120" w:after="120" w:line="500" w:lineRule="exact"/>
      <w:ind w:left="709" w:hanging="482"/>
      <w:jc w:val="center"/>
      <w:outlineLvl w:val="0"/>
    </w:pPr>
    <w:rPr>
      <w:rFonts w:ascii="宋体" w:hAnsi="Times New Roman" w:eastAsia="宋体" w:cs="Times New Roman"/>
      <w:b/>
      <w:spacing w:val="6"/>
      <w:w w:val="95"/>
      <w:sz w:val="36"/>
      <w:lang w:val="en-US" w:eastAsia="zh-CN" w:bidi="ar-SA"/>
    </w:rPr>
  </w:style>
  <w:style w:type="paragraph" w:customStyle="1" w:styleId="253">
    <w:name w:val="xl85"/>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jc w:val="center"/>
    </w:pPr>
    <w:rPr>
      <w:b/>
      <w:kern w:val="0"/>
      <w:sz w:val="20"/>
    </w:rPr>
  </w:style>
  <w:style w:type="paragraph" w:customStyle="1" w:styleId="254">
    <w:name w:val="text"/>
    <w:basedOn w:val="1"/>
    <w:qFormat/>
    <w:uiPriority w:val="0"/>
    <w:pPr>
      <w:widowControl/>
      <w:spacing w:before="100" w:beforeAutospacing="1" w:after="100" w:afterAutospacing="1" w:line="284" w:lineRule="atLeast"/>
    </w:pPr>
    <w:rPr>
      <w:rFonts w:ascii="宋体" w:hAnsi="宋体"/>
      <w:color w:val="000000"/>
      <w:kern w:val="0"/>
      <w:sz w:val="18"/>
    </w:rPr>
  </w:style>
  <w:style w:type="paragraph" w:customStyle="1" w:styleId="255">
    <w:name w:val="五号线a)"/>
    <w:qFormat/>
    <w:uiPriority w:val="0"/>
    <w:pPr>
      <w:tabs>
        <w:tab w:val="left" w:pos="2520"/>
      </w:tabs>
      <w:spacing w:line="500" w:lineRule="exact"/>
      <w:ind w:left="2520" w:hanging="420"/>
      <w:outlineLvl w:val="5"/>
    </w:pPr>
    <w:rPr>
      <w:rFonts w:ascii="宋体" w:hAnsi="Times New Roman" w:eastAsia="宋体" w:cs="Times New Roman"/>
      <w:spacing w:val="6"/>
      <w:w w:val="95"/>
      <w:sz w:val="24"/>
      <w:lang w:val="en-US" w:eastAsia="zh-CN" w:bidi="ar-SA"/>
    </w:rPr>
  </w:style>
  <w:style w:type="paragraph" w:customStyle="1" w:styleId="256">
    <w:name w:val="样式5"/>
    <w:basedOn w:val="1"/>
    <w:qFormat/>
    <w:uiPriority w:val="0"/>
    <w:pPr>
      <w:keepNext/>
      <w:tabs>
        <w:tab w:val="left" w:pos="1134"/>
      </w:tabs>
      <w:ind w:left="1134" w:hanging="567"/>
      <w:jc w:val="center"/>
    </w:pPr>
    <w:rPr>
      <w:rFonts w:ascii="仿宋_GB2312" w:eastAsia="仿宋_GB2312"/>
      <w:b/>
      <w:kern w:val="28"/>
      <w:sz w:val="28"/>
    </w:rPr>
  </w:style>
  <w:style w:type="paragraph" w:customStyle="1" w:styleId="257">
    <w:name w:val="font10"/>
    <w:basedOn w:val="1"/>
    <w:qFormat/>
    <w:uiPriority w:val="0"/>
    <w:pPr>
      <w:widowControl/>
      <w:spacing w:before="100" w:after="100" w:line="240" w:lineRule="auto"/>
    </w:pPr>
    <w:rPr>
      <w:kern w:val="0"/>
      <w:sz w:val="20"/>
    </w:rPr>
  </w:style>
  <w:style w:type="paragraph" w:customStyle="1" w:styleId="258">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hint="eastAsia" w:ascii="宋体" w:hAnsi="宋体"/>
      <w:kern w:val="0"/>
    </w:rPr>
  </w:style>
  <w:style w:type="paragraph" w:customStyle="1" w:styleId="259">
    <w:name w:val="xl66"/>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pPr>
    <w:rPr>
      <w:rFonts w:ascii="宋体" w:hAnsi="宋体"/>
      <w:b/>
      <w:kern w:val="0"/>
      <w:sz w:val="20"/>
    </w:rPr>
  </w:style>
  <w:style w:type="paragraph" w:customStyle="1" w:styleId="260">
    <w:name w:val="z-Top of Form"/>
    <w:next w:val="1"/>
    <w:qFormat/>
    <w:uiPriority w:val="0"/>
    <w:pPr>
      <w:widowControl w:val="0"/>
      <w:pBdr>
        <w:bottom w:val="double" w:color="000000" w:sz="2" w:space="0"/>
      </w:pBdr>
      <w:autoSpaceDE w:val="0"/>
      <w:autoSpaceDN w:val="0"/>
      <w:adjustRightInd w:val="0"/>
      <w:spacing w:line="360" w:lineRule="auto"/>
      <w:ind w:left="709" w:hanging="482"/>
      <w:jc w:val="center"/>
    </w:pPr>
    <w:rPr>
      <w:rFonts w:ascii="Arial" w:hAnsi="Arial" w:eastAsia="宋体" w:cs="Times New Roman"/>
      <w:vanish/>
      <w:sz w:val="16"/>
      <w:lang w:val="en-US" w:eastAsia="zh-CN" w:bidi="ar-SA"/>
    </w:rPr>
  </w:style>
  <w:style w:type="paragraph" w:customStyle="1" w:styleId="261">
    <w:name w:val="投标标题3"/>
    <w:qFormat/>
    <w:uiPriority w:val="0"/>
    <w:pPr>
      <w:spacing w:line="520" w:lineRule="exact"/>
      <w:ind w:left="709" w:hanging="482"/>
    </w:pPr>
    <w:rPr>
      <w:rFonts w:ascii="Times New Roman" w:hAnsi="Times New Roman" w:eastAsia="宋体" w:cs="Times New Roman"/>
      <w:b/>
      <w:sz w:val="28"/>
      <w:lang w:val="en-US" w:eastAsia="zh-CN" w:bidi="ar-SA"/>
    </w:rPr>
  </w:style>
  <w:style w:type="paragraph" w:customStyle="1" w:styleId="262">
    <w:name w:val="Char Char Char Char Char Char Char Char Char Char"/>
    <w:basedOn w:val="1"/>
    <w:qFormat/>
    <w:uiPriority w:val="0"/>
    <w:pPr>
      <w:spacing w:line="240" w:lineRule="auto"/>
    </w:pPr>
    <w:rPr>
      <w:rFonts w:ascii="Tahoma" w:hAnsi="Tahoma"/>
    </w:rPr>
  </w:style>
  <w:style w:type="paragraph" w:customStyle="1" w:styleId="263">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Verdana" w:hAnsi="Verdana"/>
      <w:kern w:val="0"/>
    </w:rPr>
  </w:style>
  <w:style w:type="paragraph" w:customStyle="1" w:styleId="264">
    <w:name w:val="文档正文"/>
    <w:basedOn w:val="1"/>
    <w:qFormat/>
    <w:uiPriority w:val="0"/>
    <w:pPr>
      <w:adjustRightInd w:val="0"/>
      <w:snapToGrid w:val="0"/>
      <w:spacing w:line="480" w:lineRule="atLeast"/>
      <w:ind w:firstLine="360" w:firstLineChars="150"/>
      <w:jc w:val="center"/>
      <w:textAlignment w:val="baseline"/>
    </w:pPr>
    <w:rPr>
      <w:rFonts w:ascii="宋体" w:hAnsi="宋体"/>
    </w:rPr>
  </w:style>
  <w:style w:type="paragraph" w:customStyle="1" w:styleId="265">
    <w:name w:val="xl92"/>
    <w:basedOn w:val="1"/>
    <w:qFormat/>
    <w:uiPriority w:val="0"/>
    <w:pPr>
      <w:widowControl/>
      <w:pBdr>
        <w:top w:val="single" w:color="auto" w:sz="8" w:space="0"/>
        <w:left w:val="single" w:color="auto" w:sz="8" w:space="0"/>
        <w:bottom w:val="single" w:color="auto" w:sz="4" w:space="0"/>
      </w:pBdr>
      <w:spacing w:before="100" w:beforeAutospacing="1" w:after="100" w:afterAutospacing="1" w:line="240" w:lineRule="auto"/>
      <w:jc w:val="center"/>
    </w:pPr>
    <w:rPr>
      <w:rFonts w:ascii="宋体" w:hAnsi="宋体"/>
      <w:kern w:val="0"/>
      <w:sz w:val="18"/>
    </w:rPr>
  </w:style>
  <w:style w:type="paragraph" w:customStyle="1" w:styleId="266">
    <w:name w:val="Table_Head"/>
    <w:basedOn w:val="1"/>
    <w:qFormat/>
    <w:uiPriority w:val="0"/>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40" w:lineRule="auto"/>
      <w:jc w:val="center"/>
    </w:pPr>
    <w:rPr>
      <w:b/>
      <w:kern w:val="0"/>
      <w:sz w:val="22"/>
      <w:lang w:val="en-GB"/>
    </w:rPr>
  </w:style>
  <w:style w:type="paragraph" w:customStyle="1" w:styleId="267">
    <w:name w:val="缺省文本"/>
    <w:basedOn w:val="1"/>
    <w:qFormat/>
    <w:uiPriority w:val="0"/>
    <w:pPr>
      <w:autoSpaceDE w:val="0"/>
      <w:autoSpaceDN w:val="0"/>
      <w:adjustRightInd w:val="0"/>
      <w:spacing w:line="240" w:lineRule="auto"/>
    </w:pPr>
    <w:rPr>
      <w:kern w:val="0"/>
    </w:rPr>
  </w:style>
  <w:style w:type="paragraph" w:customStyle="1" w:styleId="268">
    <w:name w:val="xl91"/>
    <w:basedOn w:val="1"/>
    <w:qFormat/>
    <w:uiPriority w:val="0"/>
    <w:pPr>
      <w:widowControl/>
      <w:pBdr>
        <w:left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269">
    <w:name w:val="zField10p0bL"/>
    <w:qFormat/>
    <w:uiPriority w:val="0"/>
    <w:pPr>
      <w:spacing w:line="360" w:lineRule="auto"/>
      <w:ind w:left="28" w:right="57" w:hanging="482"/>
    </w:pPr>
    <w:rPr>
      <w:rFonts w:ascii="Arial" w:hAnsi="Arial" w:eastAsia="宋体" w:cs="Times New Roman"/>
      <w:lang w:val="en-US" w:eastAsia="en-US" w:bidi="ar-SA"/>
    </w:rPr>
  </w:style>
  <w:style w:type="paragraph" w:customStyle="1" w:styleId="270">
    <w:name w:val="样式10"/>
    <w:basedOn w:val="1"/>
    <w:qFormat/>
    <w:uiPriority w:val="0"/>
    <w:pPr>
      <w:keepNext/>
      <w:tabs>
        <w:tab w:val="left" w:pos="1134"/>
      </w:tabs>
      <w:ind w:left="1134" w:hanging="567"/>
      <w:jc w:val="center"/>
    </w:pPr>
    <w:rPr>
      <w:rFonts w:ascii="仿宋_GB2312" w:eastAsia="仿宋_GB2312"/>
      <w:b/>
      <w:kern w:val="28"/>
      <w:sz w:val="28"/>
    </w:rPr>
  </w:style>
  <w:style w:type="paragraph" w:customStyle="1" w:styleId="271">
    <w:name w:val="样式3-30"/>
    <w:basedOn w:val="272"/>
    <w:qFormat/>
    <w:uiPriority w:val="0"/>
    <w:pPr>
      <w:tabs>
        <w:tab w:val="left" w:pos="360"/>
        <w:tab w:val="left" w:pos="1134"/>
      </w:tabs>
      <w:ind w:left="1134" w:hanging="567"/>
    </w:pPr>
  </w:style>
  <w:style w:type="paragraph" w:customStyle="1" w:styleId="272">
    <w:name w:val="样式3-9"/>
    <w:basedOn w:val="1"/>
    <w:qFormat/>
    <w:uiPriority w:val="0"/>
    <w:pPr>
      <w:keepNext/>
      <w:keepLines/>
      <w:widowControl/>
      <w:suppressLineNumbers/>
      <w:tabs>
        <w:tab w:val="left" w:pos="360"/>
      </w:tabs>
      <w:suppressAutoHyphens/>
      <w:jc w:val="center"/>
    </w:pPr>
    <w:rPr>
      <w:rFonts w:ascii="仿宋_GB2312" w:eastAsia="仿宋_GB2312"/>
      <w:kern w:val="28"/>
      <w:sz w:val="28"/>
    </w:rPr>
  </w:style>
  <w:style w:type="paragraph" w:customStyle="1" w:styleId="273">
    <w:name w:val="S01-General"/>
    <w:basedOn w:val="1"/>
    <w:next w:val="1"/>
    <w:qFormat/>
    <w:uiPriority w:val="0"/>
    <w:pPr>
      <w:widowControl/>
      <w:spacing w:line="240" w:lineRule="auto"/>
    </w:pPr>
    <w:rPr>
      <w:rFonts w:ascii="Arial" w:hAnsi="Arial"/>
      <w:kern w:val="0"/>
      <w:sz w:val="22"/>
      <w:lang w:eastAsia="en-US"/>
    </w:rPr>
  </w:style>
  <w:style w:type="paragraph" w:customStyle="1" w:styleId="274">
    <w:name w:val="样式3-7"/>
    <w:basedOn w:val="212"/>
    <w:qFormat/>
    <w:uiPriority w:val="0"/>
  </w:style>
  <w:style w:type="paragraph" w:customStyle="1" w:styleId="275">
    <w:name w:val="表格1"/>
    <w:qFormat/>
    <w:uiPriority w:val="0"/>
    <w:pPr>
      <w:keepNext/>
      <w:spacing w:line="360" w:lineRule="auto"/>
      <w:ind w:left="709" w:hanging="482"/>
      <w:jc w:val="center"/>
    </w:pPr>
    <w:rPr>
      <w:rFonts w:ascii="宋体" w:hAnsi="Times New Roman" w:eastAsia="宋体" w:cs="Times New Roman"/>
      <w:snapToGrid w:val="0"/>
      <w:spacing w:val="6"/>
      <w:w w:val="95"/>
      <w:sz w:val="24"/>
      <w:lang w:val="en-US" w:eastAsia="zh-CN" w:bidi="ar-SA"/>
    </w:rPr>
  </w:style>
  <w:style w:type="paragraph" w:customStyle="1" w:styleId="276">
    <w:name w:val="样式3-14"/>
    <w:basedOn w:val="181"/>
    <w:qFormat/>
    <w:uiPriority w:val="0"/>
    <w:pPr>
      <w:keepLines w:val="0"/>
      <w:widowControl w:val="0"/>
      <w:suppressLineNumbers w:val="0"/>
      <w:suppressAutoHyphens w:val="0"/>
      <w:ind w:left="1134" w:hanging="567"/>
    </w:pPr>
    <w:rPr>
      <w:rFonts w:ascii="Times New Roman"/>
      <w:b w:val="0"/>
    </w:rPr>
  </w:style>
  <w:style w:type="paragraph" w:customStyle="1" w:styleId="277">
    <w:name w:val="Body text 1"/>
    <w:basedOn w:val="195"/>
    <w:qFormat/>
    <w:uiPriority w:val="0"/>
    <w:pPr>
      <w:tabs>
        <w:tab w:val="left" w:pos="1134"/>
      </w:tabs>
      <w:ind w:hanging="1134"/>
    </w:pPr>
  </w:style>
  <w:style w:type="paragraph" w:customStyle="1" w:styleId="278">
    <w:name w:val="表"/>
    <w:basedOn w:val="1"/>
    <w:qFormat/>
    <w:uiPriority w:val="0"/>
    <w:pPr>
      <w:keepNext/>
      <w:spacing w:before="156" w:beforeLines="50" w:line="240" w:lineRule="auto"/>
    </w:pPr>
    <w:rPr>
      <w:rFonts w:ascii="宋体" w:hAnsi="宋体"/>
      <w:color w:val="FF0000"/>
      <w:kern w:val="21"/>
      <w:sz w:val="21"/>
    </w:rPr>
  </w:style>
  <w:style w:type="paragraph" w:customStyle="1" w:styleId="279">
    <w:name w:val="TableText"/>
    <w:qFormat/>
    <w:uiPriority w:val="0"/>
    <w:pPr>
      <w:spacing w:before="60" w:line="360" w:lineRule="auto"/>
      <w:ind w:left="57" w:right="57" w:hanging="482"/>
    </w:pPr>
    <w:rPr>
      <w:rFonts w:ascii="Arial" w:hAnsi="Arial" w:eastAsia="宋体" w:cs="Times New Roman"/>
      <w:sz w:val="22"/>
      <w:lang w:val="en-US" w:eastAsia="en-US" w:bidi="ar-SA"/>
    </w:rPr>
  </w:style>
  <w:style w:type="paragraph" w:customStyle="1" w:styleId="280">
    <w:name w:val="样式1-4"/>
    <w:basedOn w:val="1"/>
    <w:qFormat/>
    <w:uiPriority w:val="0"/>
    <w:pPr>
      <w:keepNext/>
      <w:keepLines/>
      <w:widowControl/>
      <w:suppressLineNumbers/>
      <w:tabs>
        <w:tab w:val="left" w:pos="1134"/>
      </w:tabs>
      <w:suppressAutoHyphens/>
      <w:ind w:left="1134" w:hanging="567"/>
    </w:pPr>
    <w:rPr>
      <w:rFonts w:ascii="仿宋_GB2312" w:eastAsia="仿宋_GB2312"/>
      <w:kern w:val="28"/>
      <w:sz w:val="28"/>
    </w:rPr>
  </w:style>
  <w:style w:type="paragraph" w:customStyle="1" w:styleId="281">
    <w:name w:val="para"/>
    <w:qFormat/>
    <w:uiPriority w:val="0"/>
    <w:pPr>
      <w:spacing w:line="360" w:lineRule="auto"/>
      <w:ind w:left="709" w:hanging="482"/>
      <w:jc w:val="center"/>
    </w:pPr>
    <w:rPr>
      <w:rFonts w:ascii="Arial" w:hAnsi="Arial" w:eastAsia="宋体" w:cs="Times New Roman"/>
      <w:lang w:val="en-US" w:eastAsia="zh-CN" w:bidi="ar-SA"/>
    </w:rPr>
  </w:style>
  <w:style w:type="paragraph" w:customStyle="1" w:styleId="282">
    <w:name w:val="xl88"/>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283">
    <w:name w:val="样式3-2"/>
    <w:basedOn w:val="1"/>
    <w:qFormat/>
    <w:uiPriority w:val="0"/>
    <w:pPr>
      <w:keepNext/>
      <w:keepLines/>
      <w:widowControl/>
      <w:suppressLineNumbers/>
      <w:tabs>
        <w:tab w:val="left" w:pos="1134"/>
      </w:tabs>
      <w:suppressAutoHyphens/>
      <w:ind w:firstLine="567"/>
    </w:pPr>
    <w:rPr>
      <w:rFonts w:ascii="仿宋_GB2312" w:eastAsia="仿宋_GB2312"/>
      <w:kern w:val="28"/>
      <w:sz w:val="28"/>
    </w:rPr>
  </w:style>
  <w:style w:type="paragraph" w:customStyle="1" w:styleId="284">
    <w:name w:val="Table_Legend"/>
    <w:basedOn w:val="1"/>
    <w:next w:val="1"/>
    <w:qFormat/>
    <w:uiPriority w:val="0"/>
    <w:pPr>
      <w:keepNext/>
      <w:tabs>
        <w:tab w:val="left" w:pos="454"/>
      </w:tabs>
      <w:autoSpaceDE w:val="0"/>
      <w:autoSpaceDN w:val="0"/>
      <w:adjustRightInd w:val="0"/>
      <w:spacing w:before="86" w:line="199" w:lineRule="exact"/>
      <w:textAlignment w:val="baseline"/>
    </w:pPr>
    <w:rPr>
      <w:kern w:val="0"/>
      <w:sz w:val="18"/>
    </w:rPr>
  </w:style>
  <w:style w:type="paragraph" w:customStyle="1" w:styleId="285">
    <w:name w:val="ss"/>
    <w:basedOn w:val="35"/>
    <w:qFormat/>
    <w:uiPriority w:val="0"/>
    <w:pPr>
      <w:keepNext/>
      <w:ind w:left="0" w:firstLine="560" w:firstLineChars="200"/>
    </w:pPr>
    <w:rPr>
      <w:color w:val="000000"/>
      <w:kern w:val="28"/>
      <w:sz w:val="28"/>
    </w:rPr>
  </w:style>
  <w:style w:type="paragraph" w:customStyle="1" w:styleId="286">
    <w:name w:val="font6"/>
    <w:basedOn w:val="1"/>
    <w:qFormat/>
    <w:uiPriority w:val="0"/>
    <w:pPr>
      <w:widowControl/>
      <w:spacing w:before="100" w:beforeAutospacing="1" w:after="100" w:afterAutospacing="1" w:line="240" w:lineRule="auto"/>
    </w:pPr>
    <w:rPr>
      <w:kern w:val="0"/>
      <w:sz w:val="20"/>
    </w:rPr>
  </w:style>
  <w:style w:type="paragraph" w:customStyle="1" w:styleId="287">
    <w:name w:val="正表格内容"/>
    <w:basedOn w:val="1"/>
    <w:qFormat/>
    <w:uiPriority w:val="0"/>
    <w:pPr>
      <w:keepNext/>
      <w:keepLines/>
      <w:widowControl/>
      <w:suppressLineNumbers/>
      <w:tabs>
        <w:tab w:val="left" w:pos="480"/>
      </w:tabs>
      <w:suppressAutoHyphens/>
      <w:autoSpaceDE w:val="0"/>
      <w:autoSpaceDN w:val="0"/>
      <w:adjustRightInd w:val="0"/>
      <w:spacing w:line="240" w:lineRule="auto"/>
      <w:jc w:val="center"/>
      <w:textAlignment w:val="bottom"/>
    </w:pPr>
    <w:rPr>
      <w:rFonts w:ascii="宋体"/>
      <w:kern w:val="0"/>
      <w:sz w:val="18"/>
      <w14:shadow w14:blurRad="50800" w14:dist="38100" w14:dir="2700000" w14:sx="100000" w14:sy="100000" w14:kx="0" w14:ky="0" w14:algn="tl">
        <w14:srgbClr w14:val="000000">
          <w14:alpha w14:val="60000"/>
        </w14:srgbClr>
      </w14:shadow>
    </w:rPr>
  </w:style>
  <w:style w:type="paragraph" w:customStyle="1" w:styleId="288">
    <w:name w:val="xl89"/>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pPr>
    <w:rPr>
      <w:rFonts w:ascii="宋体" w:hAnsi="宋体"/>
      <w:kern w:val="0"/>
      <w:sz w:val="20"/>
    </w:rPr>
  </w:style>
  <w:style w:type="paragraph" w:customStyle="1" w:styleId="289">
    <w:name w:val="Char1 Char Char Char Char Char Char"/>
    <w:basedOn w:val="1"/>
    <w:qFormat/>
    <w:uiPriority w:val="0"/>
    <w:pPr>
      <w:spacing w:line="240" w:lineRule="auto"/>
    </w:pPr>
    <w:rPr>
      <w:rFonts w:ascii="Tahoma" w:hAnsi="Tahoma" w:eastAsia="仿宋_GB2312"/>
      <w:b/>
    </w:rPr>
  </w:style>
  <w:style w:type="paragraph" w:customStyle="1" w:styleId="290">
    <w:name w:val="样式 标书正文 + 首行缩进:  2 字符"/>
    <w:basedOn w:val="124"/>
    <w:qFormat/>
    <w:uiPriority w:val="0"/>
    <w:pPr>
      <w:ind w:firstLine="484"/>
    </w:pPr>
  </w:style>
  <w:style w:type="paragraph" w:customStyle="1" w:styleId="291">
    <w:name w:val="样式 标书正文 + 首行缩进:  2 字符1"/>
    <w:basedOn w:val="124"/>
    <w:qFormat/>
    <w:uiPriority w:val="0"/>
    <w:rPr>
      <w:spacing w:val="6"/>
      <w:kern w:val="0"/>
    </w:rPr>
  </w:style>
  <w:style w:type="paragraph" w:customStyle="1" w:styleId="292">
    <w:name w:val="目录 91"/>
    <w:basedOn w:val="1"/>
    <w:next w:val="1"/>
    <w:qFormat/>
    <w:uiPriority w:val="39"/>
    <w:pPr>
      <w:ind w:left="1920"/>
    </w:pPr>
    <w:rPr>
      <w:sz w:val="18"/>
    </w:rPr>
  </w:style>
  <w:style w:type="paragraph" w:customStyle="1" w:styleId="293">
    <w:name w:val="五级"/>
    <w:basedOn w:val="4"/>
    <w:qFormat/>
    <w:uiPriority w:val="0"/>
    <w:pPr>
      <w:keepLines w:val="0"/>
      <w:numPr>
        <w:ilvl w:val="0"/>
        <w:numId w:val="0"/>
      </w:numPr>
    </w:pPr>
    <w:rPr>
      <w:rFonts w:ascii="宋体" w:hAnsi="宋体"/>
    </w:rPr>
  </w:style>
  <w:style w:type="paragraph" w:customStyle="1" w:styleId="294">
    <w:name w:val="表头文字"/>
    <w:basedOn w:val="1"/>
    <w:qFormat/>
    <w:uiPriority w:val="0"/>
    <w:pPr>
      <w:spacing w:line="300" w:lineRule="atLeast"/>
      <w:jc w:val="center"/>
    </w:pPr>
    <w:rPr>
      <w:sz w:val="20"/>
    </w:rPr>
  </w:style>
  <w:style w:type="paragraph" w:customStyle="1" w:styleId="29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Verdana" w:hAnsi="Verdana"/>
      <w:i/>
      <w:kern w:val="0"/>
    </w:rPr>
  </w:style>
  <w:style w:type="paragraph" w:customStyle="1" w:styleId="296">
    <w:name w:val="封面2"/>
    <w:basedOn w:val="1"/>
    <w:qFormat/>
    <w:uiPriority w:val="0"/>
    <w:pPr>
      <w:adjustRightInd w:val="0"/>
      <w:snapToGrid w:val="0"/>
      <w:spacing w:before="100" w:beforeAutospacing="1" w:after="100" w:afterAutospacing="1" w:line="240" w:lineRule="auto"/>
      <w:ind w:left="-5" w:leftChars="-5"/>
      <w:jc w:val="center"/>
    </w:pPr>
    <w:rPr>
      <w:b/>
      <w:sz w:val="72"/>
    </w:rPr>
  </w:style>
  <w:style w:type="paragraph" w:customStyle="1" w:styleId="297">
    <w:name w:val="标题3111"/>
    <w:basedOn w:val="5"/>
    <w:qFormat/>
    <w:uiPriority w:val="0"/>
    <w:pPr>
      <w:keepLines w:val="0"/>
      <w:numPr>
        <w:ilvl w:val="0"/>
        <w:numId w:val="0"/>
      </w:numPr>
      <w:tabs>
        <w:tab w:val="left" w:pos="567"/>
      </w:tabs>
      <w:ind w:left="567" w:hanging="567" w:firstLineChars="200"/>
      <w:jc w:val="left"/>
      <w:outlineLvl w:val="9"/>
    </w:pPr>
    <w:rPr>
      <w:rFonts w:ascii="仿宋_GB2312" w:hAnsi="宋体" w:eastAsia="仿宋_GB2312"/>
      <w:b/>
      <w:kern w:val="28"/>
      <w:sz w:val="28"/>
      <w:lang w:val="en-US"/>
    </w:rPr>
  </w:style>
  <w:style w:type="paragraph" w:customStyle="1" w:styleId="298">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Verdana" w:hAnsi="Verdana"/>
      <w:b/>
      <w:kern w:val="0"/>
    </w:rPr>
  </w:style>
  <w:style w:type="paragraph" w:customStyle="1" w:styleId="299">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Verdana" w:hAnsi="Verdana"/>
      <w:kern w:val="0"/>
    </w:rPr>
  </w:style>
  <w:style w:type="paragraph" w:customStyle="1" w:styleId="300">
    <w:name w:val="条款"/>
    <w:basedOn w:val="45"/>
    <w:qFormat/>
    <w:uiPriority w:val="0"/>
    <w:pPr>
      <w:spacing w:line="360" w:lineRule="auto"/>
      <w:ind w:left="-108" w:firstLine="420" w:firstLineChars="200"/>
    </w:pPr>
    <w:rPr>
      <w:rFonts w:hAnsi="宋体"/>
      <w:kern w:val="0"/>
    </w:rPr>
  </w:style>
  <w:style w:type="paragraph" w:customStyle="1" w:styleId="301">
    <w:name w:val="技术标题4"/>
    <w:basedOn w:val="186"/>
    <w:qFormat/>
    <w:uiPriority w:val="0"/>
    <w:pPr>
      <w:tabs>
        <w:tab w:val="left" w:pos="360"/>
        <w:tab w:val="left" w:pos="864"/>
      </w:tabs>
      <w:ind w:left="867" w:hanging="822"/>
    </w:pPr>
  </w:style>
  <w:style w:type="paragraph" w:customStyle="1" w:styleId="302">
    <w:name w:val="Style 樣式 標題 3 + (中文) MS Gothic 10.5 點 + (Latin) Times New Roman (A..."/>
    <w:basedOn w:val="1"/>
    <w:link w:val="603"/>
    <w:qFormat/>
    <w:uiPriority w:val="0"/>
    <w:pPr>
      <w:keepNext/>
      <w:tabs>
        <w:tab w:val="left" w:pos="1860"/>
      </w:tabs>
      <w:spacing w:after="156" w:afterLines="50" w:line="240" w:lineRule="auto"/>
      <w:ind w:left="1860" w:hanging="480"/>
      <w:outlineLvl w:val="2"/>
    </w:pPr>
    <w:rPr>
      <w:rFonts w:eastAsia="PMingLiU"/>
      <w:b/>
      <w:snapToGrid w:val="0"/>
      <w:lang w:val="en-AU" w:eastAsia="zh-TW"/>
    </w:rPr>
  </w:style>
  <w:style w:type="paragraph" w:customStyle="1" w:styleId="303">
    <w:name w:val="font0"/>
    <w:basedOn w:val="1"/>
    <w:qFormat/>
    <w:uiPriority w:val="0"/>
    <w:pPr>
      <w:widowControl/>
      <w:spacing w:before="100" w:after="100" w:line="240" w:lineRule="auto"/>
    </w:pPr>
    <w:rPr>
      <w:rFonts w:hint="eastAsia" w:ascii="宋体" w:hAnsi="宋体"/>
      <w:kern w:val="0"/>
    </w:rPr>
  </w:style>
  <w:style w:type="paragraph" w:customStyle="1" w:styleId="304">
    <w:name w:val="修订1"/>
    <w:qFormat/>
    <w:uiPriority w:val="0"/>
    <w:pPr>
      <w:spacing w:line="360" w:lineRule="auto"/>
      <w:ind w:left="709" w:hanging="482"/>
    </w:pPr>
    <w:rPr>
      <w:rFonts w:ascii="Times New Roman" w:hAnsi="Times New Roman" w:eastAsia="宋体" w:cs="Times New Roman"/>
      <w:kern w:val="2"/>
      <w:sz w:val="24"/>
      <w:lang w:val="en-US" w:eastAsia="zh-CN" w:bidi="ar-SA"/>
    </w:rPr>
  </w:style>
  <w:style w:type="paragraph" w:customStyle="1" w:styleId="305">
    <w:name w:val="标题4"/>
    <w:basedOn w:val="6"/>
    <w:qFormat/>
    <w:uiPriority w:val="0"/>
    <w:pPr>
      <w:numPr>
        <w:ilvl w:val="0"/>
        <w:numId w:val="0"/>
      </w:numPr>
      <w:spacing w:before="100" w:beforeAutospacing="1" w:after="100" w:afterAutospacing="1" w:line="240" w:lineRule="auto"/>
    </w:pPr>
    <w:rPr>
      <w:rFonts w:ascii="Arial" w:eastAsia="黑体"/>
      <w:b/>
      <w:sz w:val="28"/>
    </w:rPr>
  </w:style>
  <w:style w:type="paragraph" w:customStyle="1" w:styleId="306">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Verdana" w:hAnsi="Verdana"/>
      <w:kern w:val="0"/>
    </w:rPr>
  </w:style>
  <w:style w:type="paragraph" w:customStyle="1" w:styleId="307">
    <w:name w:val="样式3-22"/>
    <w:basedOn w:val="229"/>
    <w:qFormat/>
    <w:uiPriority w:val="0"/>
    <w:pPr>
      <w:spacing w:after="120"/>
      <w:jc w:val="left"/>
    </w:pPr>
    <w:rPr>
      <w:b/>
    </w:rPr>
  </w:style>
  <w:style w:type="paragraph" w:customStyle="1" w:styleId="308">
    <w:name w:val="Char1 Char Char Char"/>
    <w:basedOn w:val="1"/>
    <w:qFormat/>
    <w:uiPriority w:val="0"/>
    <w:pPr>
      <w:spacing w:line="240" w:lineRule="auto"/>
    </w:pPr>
    <w:rPr>
      <w:rFonts w:ascii="Tahoma" w:hAnsi="Tahoma" w:eastAsia="仿宋_GB2312"/>
      <w:b/>
    </w:rPr>
  </w:style>
  <w:style w:type="paragraph" w:customStyle="1" w:styleId="309">
    <w:name w:val="MARGE"/>
    <w:basedOn w:val="1"/>
    <w:qFormat/>
    <w:uiPriority w:val="0"/>
    <w:pPr>
      <w:widowControl/>
      <w:spacing w:line="240" w:lineRule="auto"/>
    </w:pPr>
    <w:rPr>
      <w:rFonts w:ascii="Arial" w:hAnsi="Arial" w:eastAsia="PMingLiU"/>
      <w:kern w:val="0"/>
      <w:lang w:eastAsia="fr-FR"/>
    </w:rPr>
  </w:style>
  <w:style w:type="paragraph" w:customStyle="1" w:styleId="310">
    <w:name w:val="样式7"/>
    <w:basedOn w:val="311"/>
    <w:qFormat/>
    <w:uiPriority w:val="0"/>
    <w:pPr>
      <w:tabs>
        <w:tab w:val="left" w:pos="1134"/>
        <w:tab w:val="left" w:pos="1197"/>
      </w:tabs>
      <w:ind w:left="1197"/>
    </w:pPr>
  </w:style>
  <w:style w:type="paragraph" w:customStyle="1" w:styleId="311">
    <w:name w:val="样式6"/>
    <w:basedOn w:val="256"/>
    <w:qFormat/>
    <w:uiPriority w:val="0"/>
    <w:rPr>
      <w:rFonts w:ascii="宋体"/>
    </w:rPr>
  </w:style>
  <w:style w:type="paragraph" w:customStyle="1" w:styleId="312">
    <w:name w:val="6"/>
    <w:basedOn w:val="1"/>
    <w:qFormat/>
    <w:uiPriority w:val="0"/>
    <w:pPr>
      <w:spacing w:line="240" w:lineRule="auto"/>
    </w:pPr>
    <w:rPr>
      <w:rFonts w:ascii="Tahoma" w:hAnsi="Tahoma" w:eastAsia="仿宋_GB2312"/>
      <w:b/>
    </w:rPr>
  </w:style>
  <w:style w:type="paragraph" w:customStyle="1" w:styleId="313">
    <w:name w:val="样式12"/>
    <w:basedOn w:val="177"/>
    <w:qFormat/>
    <w:uiPriority w:val="0"/>
    <w:pPr>
      <w:tabs>
        <w:tab w:val="left" w:pos="1134"/>
      </w:tabs>
      <w:ind w:left="1134" w:hanging="567"/>
    </w:pPr>
    <w:rPr>
      <w:rFonts w:ascii="Times New Roman"/>
    </w:rPr>
  </w:style>
  <w:style w:type="paragraph" w:customStyle="1" w:styleId="314">
    <w:name w:val="xl25"/>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jc w:val="center"/>
      <w:textAlignment w:val="center"/>
    </w:pPr>
    <w:rPr>
      <w:rFonts w:ascii="Arial Unicode MS" w:hAnsi="Arial Unicode MS"/>
      <w:b/>
      <w:kern w:val="0"/>
      <w:sz w:val="22"/>
      <w:lang w:eastAsia="en-US"/>
    </w:rPr>
  </w:style>
  <w:style w:type="paragraph" w:customStyle="1" w:styleId="315">
    <w:name w:val="列出段落1"/>
    <w:basedOn w:val="1"/>
    <w:qFormat/>
    <w:uiPriority w:val="34"/>
    <w:pPr>
      <w:spacing w:line="240" w:lineRule="auto"/>
      <w:ind w:firstLine="420" w:firstLineChars="200"/>
    </w:pPr>
    <w:rPr>
      <w:rFonts w:ascii="Calibri" w:hAnsi="Calibri"/>
      <w:sz w:val="21"/>
    </w:rPr>
  </w:style>
  <w:style w:type="paragraph" w:customStyle="1" w:styleId="316">
    <w:name w:val="Style Body Text Indent 3 + Left  5.29 ch First line:  0.01 ch"/>
    <w:basedOn w:val="70"/>
    <w:qFormat/>
    <w:uiPriority w:val="0"/>
    <w:pPr>
      <w:tabs>
        <w:tab w:val="left" w:pos="-1843"/>
      </w:tabs>
      <w:suppressAutoHyphens/>
      <w:spacing w:line="240" w:lineRule="auto"/>
      <w:ind w:left="1416" w:leftChars="590" w:firstLine="0"/>
    </w:pPr>
    <w:rPr>
      <w:rFonts w:eastAsia="PMingLiU"/>
      <w:snapToGrid w:val="0"/>
      <w:kern w:val="0"/>
      <w:lang w:val="en-GB" w:eastAsia="zh-TW"/>
    </w:rPr>
  </w:style>
  <w:style w:type="paragraph" w:customStyle="1" w:styleId="317">
    <w:name w:val="CellBodyItalic"/>
    <w:basedOn w:val="1"/>
    <w:qFormat/>
    <w:uiPriority w:val="0"/>
    <w:pPr>
      <w:widowControl/>
      <w:overflowPunct w:val="0"/>
      <w:autoSpaceDE w:val="0"/>
      <w:autoSpaceDN w:val="0"/>
      <w:adjustRightInd w:val="0"/>
      <w:spacing w:before="60" w:after="60" w:line="240" w:lineRule="auto"/>
      <w:ind w:firstLine="540"/>
      <w:textAlignment w:val="baseline"/>
    </w:pPr>
    <w:rPr>
      <w:rFonts w:ascii="Arial" w:hAnsi="Arial" w:eastAsia="仿宋_GB2312"/>
      <w:i/>
      <w:color w:val="000000"/>
      <w:kern w:val="0"/>
    </w:rPr>
  </w:style>
  <w:style w:type="paragraph" w:customStyle="1" w:styleId="318">
    <w:name w:val="S08-Equipment housing"/>
    <w:basedOn w:val="1"/>
    <w:next w:val="1"/>
    <w:qFormat/>
    <w:uiPriority w:val="0"/>
    <w:pPr>
      <w:widowControl/>
      <w:spacing w:line="240" w:lineRule="auto"/>
    </w:pPr>
    <w:rPr>
      <w:rFonts w:ascii="Arial" w:hAnsi="Arial"/>
      <w:kern w:val="0"/>
      <w:sz w:val="22"/>
      <w:lang w:eastAsia="en-US"/>
    </w:rPr>
  </w:style>
  <w:style w:type="paragraph" w:customStyle="1" w:styleId="319">
    <w:name w:val="目录 21"/>
    <w:basedOn w:val="1"/>
    <w:next w:val="1"/>
    <w:qFormat/>
    <w:uiPriority w:val="39"/>
    <w:pPr>
      <w:ind w:left="240"/>
    </w:pPr>
    <w:rPr>
      <w:smallCaps/>
      <w:sz w:val="20"/>
    </w:rPr>
  </w:style>
  <w:style w:type="paragraph" w:customStyle="1" w:styleId="320">
    <w:name w:val="StandardOhneEinzugOhneAbstand"/>
    <w:basedOn w:val="1"/>
    <w:qFormat/>
    <w:uiPriority w:val="0"/>
    <w:pPr>
      <w:widowControl/>
      <w:spacing w:line="288" w:lineRule="auto"/>
    </w:pPr>
    <w:rPr>
      <w:rFonts w:ascii="Arial" w:hAnsi="Arial"/>
      <w:kern w:val="0"/>
      <w:sz w:val="22"/>
      <w:lang w:val="de-DE"/>
    </w:rPr>
  </w:style>
  <w:style w:type="paragraph" w:customStyle="1" w:styleId="321">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Verdana" w:hAnsi="Verdana"/>
      <w:kern w:val="0"/>
    </w:rPr>
  </w:style>
  <w:style w:type="paragraph" w:customStyle="1" w:styleId="322">
    <w:name w:val="样式3-23"/>
    <w:basedOn w:val="307"/>
    <w:qFormat/>
    <w:uiPriority w:val="0"/>
    <w:pPr>
      <w:tabs>
        <w:tab w:val="left" w:pos="-546"/>
      </w:tabs>
      <w:spacing w:after="0"/>
      <w:ind w:left="-546"/>
    </w:pPr>
  </w:style>
  <w:style w:type="paragraph" w:customStyle="1" w:styleId="323">
    <w:name w:val="正文1"/>
    <w:basedOn w:val="1"/>
    <w:qFormat/>
    <w:uiPriority w:val="0"/>
    <w:pPr>
      <w:adjustRightInd w:val="0"/>
      <w:snapToGrid w:val="0"/>
      <w:spacing w:before="120"/>
      <w:ind w:left="900" w:leftChars="375"/>
    </w:pPr>
    <w:rPr>
      <w:rFonts w:ascii="宋体" w:hAnsi="宋体"/>
      <w:color w:val="000000"/>
    </w:rPr>
  </w:style>
  <w:style w:type="paragraph" w:customStyle="1" w:styleId="324">
    <w:name w:val="样式3-17"/>
    <w:basedOn w:val="180"/>
    <w:qFormat/>
    <w:uiPriority w:val="0"/>
  </w:style>
  <w:style w:type="paragraph" w:customStyle="1" w:styleId="325">
    <w:name w:val="xl76"/>
    <w:basedOn w:val="1"/>
    <w:qFormat/>
    <w:uiPriority w:val="0"/>
    <w:pPr>
      <w:widowControl/>
      <w:pBdr>
        <w:top w:val="single" w:color="auto" w:sz="4" w:space="0"/>
        <w:left w:val="single" w:color="auto" w:sz="8" w:space="0"/>
        <w:bottom w:val="single" w:color="auto" w:sz="4"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326">
    <w:name w:val="五号线1.1"/>
    <w:qFormat/>
    <w:uiPriority w:val="0"/>
    <w:pPr>
      <w:tabs>
        <w:tab w:val="left" w:pos="720"/>
      </w:tabs>
      <w:spacing w:before="120" w:after="120" w:line="500" w:lineRule="exact"/>
      <w:ind w:left="709" w:hanging="482"/>
      <w:jc w:val="center"/>
      <w:outlineLvl w:val="1"/>
    </w:pPr>
    <w:rPr>
      <w:rFonts w:ascii="宋体" w:hAnsi="Times New Roman" w:eastAsia="宋体" w:cs="Times New Roman"/>
      <w:b/>
      <w:spacing w:val="6"/>
      <w:w w:val="95"/>
      <w:sz w:val="30"/>
      <w:lang w:val="en-US" w:eastAsia="zh-CN" w:bidi="ar-SA"/>
    </w:rPr>
  </w:style>
  <w:style w:type="paragraph" w:customStyle="1" w:styleId="327">
    <w:name w:val="样式1"/>
    <w:basedOn w:val="1"/>
    <w:link w:val="677"/>
    <w:qFormat/>
    <w:uiPriority w:val="0"/>
    <w:pPr>
      <w:spacing w:line="360" w:lineRule="exact"/>
      <w:ind w:firstLine="200" w:firstLineChars="200"/>
    </w:pPr>
  </w:style>
  <w:style w:type="paragraph" w:customStyle="1" w:styleId="328">
    <w:name w:val="四十投标表格"/>
    <w:qFormat/>
    <w:uiPriority w:val="0"/>
    <w:pPr>
      <w:spacing w:line="0" w:lineRule="atLeast"/>
      <w:ind w:left="709" w:hanging="482"/>
    </w:pPr>
    <w:rPr>
      <w:rFonts w:ascii="宋体" w:hAnsi="Times New Roman" w:eastAsia="宋体" w:cs="Times New Roman"/>
      <w:sz w:val="21"/>
      <w:lang w:val="en-US" w:eastAsia="zh-CN" w:bidi="ar-SA"/>
    </w:rPr>
  </w:style>
  <w:style w:type="paragraph" w:customStyle="1" w:styleId="329">
    <w:name w:val="招标文件1）"/>
    <w:qFormat/>
    <w:uiPriority w:val="0"/>
    <w:pPr>
      <w:spacing w:before="120" w:after="120" w:line="300" w:lineRule="auto"/>
      <w:ind w:left="709" w:hanging="482"/>
      <w:outlineLvl w:val="5"/>
    </w:pPr>
    <w:rPr>
      <w:rFonts w:ascii="宋体" w:hAnsi="Times New Roman" w:eastAsia="宋体" w:cs="Times New Roman"/>
      <w:spacing w:val="10"/>
      <w:w w:val="95"/>
      <w:sz w:val="21"/>
      <w:lang w:val="en-US" w:eastAsia="zh-CN" w:bidi="ar-SA"/>
    </w:rPr>
  </w:style>
  <w:style w:type="paragraph" w:customStyle="1" w:styleId="330">
    <w:name w:val="样式32"/>
    <w:basedOn w:val="177"/>
    <w:qFormat/>
    <w:uiPriority w:val="0"/>
    <w:pPr>
      <w:keepNext w:val="0"/>
      <w:tabs>
        <w:tab w:val="left" w:pos="1134"/>
      </w:tabs>
      <w:ind w:left="1134" w:hanging="567"/>
    </w:pPr>
    <w:rPr>
      <w:rFonts w:ascii="Times New Roman"/>
    </w:rPr>
  </w:style>
  <w:style w:type="paragraph" w:customStyle="1" w:styleId="331">
    <w:name w:val="Subhead 2"/>
    <w:basedOn w:val="332"/>
    <w:qFormat/>
    <w:uiPriority w:val="0"/>
    <w:pPr>
      <w:pageBreakBefore w:val="0"/>
      <w:tabs>
        <w:tab w:val="left" w:pos="1134"/>
        <w:tab w:val="left" w:pos="2552"/>
      </w:tabs>
      <w:spacing w:before="340" w:line="360" w:lineRule="atLeast"/>
    </w:pPr>
    <w:rPr>
      <w:sz w:val="28"/>
    </w:rPr>
  </w:style>
  <w:style w:type="paragraph" w:customStyle="1" w:styleId="332">
    <w:name w:val="Subhead 1"/>
    <w:basedOn w:val="333"/>
    <w:qFormat/>
    <w:uiPriority w:val="0"/>
    <w:pPr>
      <w:keepNext/>
      <w:widowControl/>
      <w:tabs>
        <w:tab w:val="left" w:pos="1134"/>
        <w:tab w:val="left" w:pos="2552"/>
      </w:tabs>
      <w:spacing w:before="510" w:after="0" w:line="420" w:lineRule="atLeast"/>
      <w:ind w:left="1134" w:hanging="1134"/>
    </w:pPr>
    <w:rPr>
      <w:sz w:val="32"/>
    </w:rPr>
  </w:style>
  <w:style w:type="paragraph" w:customStyle="1" w:styleId="333">
    <w:name w:val="Headline"/>
    <w:qFormat/>
    <w:uiPriority w:val="0"/>
    <w:pPr>
      <w:pageBreakBefore/>
      <w:widowControl w:val="0"/>
      <w:tabs>
        <w:tab w:val="left" w:pos="2552"/>
      </w:tabs>
      <w:autoSpaceDE w:val="0"/>
      <w:autoSpaceDN w:val="0"/>
      <w:adjustRightInd w:val="0"/>
      <w:spacing w:before="400" w:after="400" w:line="900" w:lineRule="atLeast"/>
      <w:ind w:left="709" w:hanging="482"/>
    </w:pPr>
    <w:rPr>
      <w:rFonts w:ascii="Arial" w:hAnsi="Arial" w:eastAsia="黑体" w:cs="Times New Roman"/>
      <w:b/>
      <w:sz w:val="52"/>
      <w:lang w:val="en-US" w:eastAsia="zh-CN" w:bidi="ar-SA"/>
    </w:rPr>
  </w:style>
  <w:style w:type="paragraph" w:customStyle="1" w:styleId="334">
    <w:name w:val="样式3-28"/>
    <w:basedOn w:val="232"/>
    <w:qFormat/>
    <w:uiPriority w:val="0"/>
    <w:pPr>
      <w:ind w:firstLine="567"/>
    </w:pPr>
  </w:style>
  <w:style w:type="paragraph" w:customStyle="1" w:styleId="335">
    <w:name w:val="Char2"/>
    <w:basedOn w:val="1"/>
    <w:qFormat/>
    <w:uiPriority w:val="0"/>
    <w:pPr>
      <w:ind w:firstLine="200" w:firstLineChars="200"/>
    </w:pPr>
    <w:rPr>
      <w:rFonts w:ascii="Tahoma" w:hAnsi="Tahoma"/>
    </w:rPr>
  </w:style>
  <w:style w:type="paragraph" w:customStyle="1" w:styleId="336">
    <w:name w:val="样式21"/>
    <w:basedOn w:val="180"/>
    <w:qFormat/>
    <w:uiPriority w:val="0"/>
    <w:pPr>
      <w:keepLines w:val="0"/>
      <w:widowControl w:val="0"/>
      <w:suppressLineNumbers w:val="0"/>
      <w:suppressAutoHyphens w:val="0"/>
    </w:pPr>
    <w:rPr>
      <w:rFonts w:ascii="Times New Roman"/>
      <w:b w:val="0"/>
    </w:rPr>
  </w:style>
  <w:style w:type="paragraph" w:customStyle="1" w:styleId="337">
    <w:name w:val="正文首行缩进 21"/>
    <w:basedOn w:val="1"/>
    <w:qFormat/>
    <w:uiPriority w:val="0"/>
    <w:pPr>
      <w:spacing w:after="120" w:line="240" w:lineRule="auto"/>
      <w:ind w:left="420" w:leftChars="200" w:firstLine="420" w:firstLineChars="200"/>
    </w:pPr>
    <w:rPr>
      <w:sz w:val="21"/>
    </w:rPr>
  </w:style>
  <w:style w:type="paragraph" w:customStyle="1" w:styleId="338">
    <w:name w:val="样式e"/>
    <w:basedOn w:val="1"/>
    <w:qFormat/>
    <w:uiPriority w:val="0"/>
    <w:pPr>
      <w:spacing w:line="240" w:lineRule="auto"/>
    </w:pPr>
    <w:rPr>
      <w:rFonts w:ascii="仿宋_GB2312" w:eastAsia="仿宋_GB2312"/>
      <w:color w:val="FF0000"/>
    </w:rPr>
  </w:style>
  <w:style w:type="paragraph" w:customStyle="1" w:styleId="339">
    <w:name w:val="Table Head"/>
    <w:qFormat/>
    <w:uiPriority w:val="0"/>
    <w:pPr>
      <w:keepNext/>
      <w:keepLines/>
      <w:spacing w:before="60" w:after="60" w:line="360" w:lineRule="auto"/>
      <w:ind w:left="57" w:right="57" w:hanging="482"/>
    </w:pPr>
    <w:rPr>
      <w:rFonts w:ascii="Arial" w:hAnsi="Arial" w:eastAsia="宋体" w:cs="Times New Roman"/>
      <w:b/>
      <w:sz w:val="22"/>
      <w:lang w:val="en-US" w:eastAsia="en-US" w:bidi="ar-SA"/>
    </w:rPr>
  </w:style>
  <w:style w:type="paragraph" w:customStyle="1" w:styleId="340">
    <w:name w:val="样式16"/>
    <w:basedOn w:val="1"/>
    <w:qFormat/>
    <w:uiPriority w:val="0"/>
    <w:pPr>
      <w:keepNext/>
      <w:tabs>
        <w:tab w:val="left" w:pos="1134"/>
      </w:tabs>
      <w:ind w:left="1134" w:hanging="567"/>
    </w:pPr>
    <w:rPr>
      <w:rFonts w:ascii="宋体" w:hAnsi="宋体"/>
      <w:kern w:val="0"/>
      <w:sz w:val="28"/>
    </w:rPr>
  </w:style>
  <w:style w:type="paragraph" w:customStyle="1" w:styleId="341">
    <w:name w:val="xl28"/>
    <w:basedOn w:val="1"/>
    <w:qFormat/>
    <w:uiPriority w:val="0"/>
    <w:pPr>
      <w:widowControl/>
      <w:pBdr>
        <w:top w:val="single" w:color="auto" w:sz="8" w:space="0"/>
        <w:left w:val="single" w:color="auto" w:sz="8" w:space="0"/>
        <w:bottom w:val="single" w:color="auto" w:sz="8" w:space="0"/>
        <w:right w:val="single" w:color="auto" w:sz="4" w:space="0"/>
      </w:pBdr>
      <w:spacing w:before="100" w:beforeAutospacing="1" w:after="100" w:afterAutospacing="1" w:line="240" w:lineRule="auto"/>
      <w:jc w:val="center"/>
      <w:textAlignment w:val="center"/>
    </w:pPr>
    <w:rPr>
      <w:rFonts w:hint="eastAsia" w:ascii="宋体" w:hAnsi="宋体"/>
      <w:b/>
      <w:kern w:val="0"/>
    </w:rPr>
  </w:style>
  <w:style w:type="paragraph" w:customStyle="1" w:styleId="342">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kern w:val="0"/>
    </w:rPr>
  </w:style>
  <w:style w:type="paragraph" w:customStyle="1" w:styleId="343">
    <w:name w:val="font1"/>
    <w:basedOn w:val="1"/>
    <w:qFormat/>
    <w:uiPriority w:val="0"/>
    <w:pPr>
      <w:widowControl/>
      <w:spacing w:before="100" w:beforeAutospacing="1" w:after="100" w:afterAutospacing="1" w:line="240" w:lineRule="auto"/>
    </w:pPr>
    <w:rPr>
      <w:rFonts w:ascii="宋体" w:hAnsi="宋体"/>
      <w:kern w:val="0"/>
    </w:rPr>
  </w:style>
  <w:style w:type="paragraph" w:customStyle="1" w:styleId="344">
    <w:name w:val="表格正文"/>
    <w:basedOn w:val="1"/>
    <w:link w:val="1158"/>
    <w:qFormat/>
    <w:uiPriority w:val="0"/>
    <w:pPr>
      <w:widowControl/>
      <w:snapToGrid w:val="0"/>
      <w:spacing w:line="300" w:lineRule="atLeast"/>
      <w:ind w:left="50" w:leftChars="50" w:firstLine="540"/>
    </w:pPr>
    <w:rPr>
      <w:rFonts w:ascii="Arial" w:hAnsi="Arial" w:eastAsia="仿宋_GB2312"/>
      <w:kern w:val="21"/>
      <w:sz w:val="18"/>
    </w:rPr>
  </w:style>
  <w:style w:type="paragraph" w:customStyle="1" w:styleId="345">
    <w:name w:val="xl4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kern w:val="0"/>
    </w:rPr>
  </w:style>
  <w:style w:type="paragraph" w:customStyle="1" w:styleId="346">
    <w:name w:val="章"/>
    <w:basedOn w:val="1"/>
    <w:qFormat/>
    <w:uiPriority w:val="0"/>
    <w:pPr>
      <w:adjustRightInd w:val="0"/>
      <w:spacing w:before="120" w:after="240" w:line="240" w:lineRule="auto"/>
      <w:jc w:val="center"/>
      <w:textAlignment w:val="baseline"/>
    </w:pPr>
    <w:rPr>
      <w:rFonts w:ascii="宋体"/>
      <w:b/>
      <w:spacing w:val="5"/>
      <w:kern w:val="0"/>
      <w:sz w:val="28"/>
    </w:rPr>
  </w:style>
  <w:style w:type="paragraph" w:customStyle="1" w:styleId="347">
    <w:name w:val="五号线1.1.1.1"/>
    <w:qFormat/>
    <w:uiPriority w:val="0"/>
    <w:pPr>
      <w:tabs>
        <w:tab w:val="left" w:pos="1505"/>
      </w:tabs>
      <w:spacing w:before="120" w:after="120" w:line="500" w:lineRule="exact"/>
      <w:ind w:left="709" w:firstLine="425"/>
      <w:outlineLvl w:val="3"/>
    </w:pPr>
    <w:rPr>
      <w:rFonts w:ascii="宋体" w:hAnsi="Times New Roman" w:eastAsia="宋体" w:cs="Times New Roman"/>
      <w:spacing w:val="6"/>
      <w:w w:val="95"/>
      <w:sz w:val="24"/>
      <w:lang w:val="en-US" w:eastAsia="zh-CN" w:bidi="ar-SA"/>
    </w:rPr>
  </w:style>
  <w:style w:type="paragraph" w:customStyle="1" w:styleId="348">
    <w:name w:val="招标文件A）"/>
    <w:qFormat/>
    <w:uiPriority w:val="0"/>
    <w:pPr>
      <w:spacing w:before="120" w:after="120" w:line="300" w:lineRule="auto"/>
      <w:ind w:left="709" w:hanging="482"/>
      <w:outlineLvl w:val="6"/>
    </w:pPr>
    <w:rPr>
      <w:rFonts w:ascii="宋体" w:hAnsi="Times New Roman" w:eastAsia="宋体" w:cs="Times New Roman"/>
      <w:spacing w:val="10"/>
      <w:w w:val="95"/>
      <w:sz w:val="21"/>
      <w:lang w:val="en-US" w:eastAsia="zh-CN" w:bidi="ar-SA"/>
    </w:rPr>
  </w:style>
  <w:style w:type="paragraph" w:customStyle="1" w:styleId="349">
    <w:name w:val="技术附件标题"/>
    <w:basedOn w:val="6"/>
    <w:qFormat/>
    <w:uiPriority w:val="0"/>
    <w:pPr>
      <w:numPr>
        <w:ilvl w:val="0"/>
        <w:numId w:val="0"/>
      </w:numPr>
      <w:spacing w:before="100" w:beforeAutospacing="1" w:after="100" w:afterAutospacing="1" w:line="240" w:lineRule="auto"/>
      <w:ind w:left="10" w:leftChars="-5" w:hanging="22" w:hangingChars="6"/>
    </w:pPr>
    <w:rPr>
      <w:rFonts w:ascii="Arial" w:eastAsia="黑体"/>
      <w:b/>
      <w:sz w:val="36"/>
      <w:lang w:val="en-US"/>
      <w14:shadow w14:blurRad="50800" w14:dist="38100" w14:dir="2700000" w14:sx="100000" w14:sy="100000" w14:kx="0" w14:ky="0" w14:algn="tl">
        <w14:srgbClr w14:val="000000">
          <w14:alpha w14:val="60000"/>
        </w14:srgbClr>
      </w14:shadow>
    </w:rPr>
  </w:style>
  <w:style w:type="paragraph" w:customStyle="1" w:styleId="350">
    <w:name w:val="香奈儿 1"/>
    <w:basedOn w:val="15"/>
    <w:next w:val="351"/>
    <w:qFormat/>
    <w:uiPriority w:val="0"/>
    <w:pPr>
      <w:widowControl/>
      <w:tabs>
        <w:tab w:val="left" w:pos="1140"/>
      </w:tabs>
      <w:spacing w:before="100" w:after="100"/>
      <w:ind w:left="0" w:firstLine="0"/>
    </w:pPr>
    <w:rPr>
      <w:sz w:val="24"/>
    </w:rPr>
  </w:style>
  <w:style w:type="paragraph" w:customStyle="1" w:styleId="351">
    <w:name w:val="正文首行缩进1"/>
    <w:basedOn w:val="34"/>
    <w:link w:val="679"/>
    <w:qFormat/>
    <w:uiPriority w:val="0"/>
    <w:pPr>
      <w:ind w:firstLine="420" w:firstLineChars="100"/>
    </w:pPr>
  </w:style>
  <w:style w:type="paragraph" w:customStyle="1" w:styleId="3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Verdana" w:hAnsi="Verdana"/>
      <w:b/>
      <w:kern w:val="0"/>
    </w:rPr>
  </w:style>
  <w:style w:type="paragraph" w:customStyle="1" w:styleId="353">
    <w:name w:val="标题211"/>
    <w:basedOn w:val="1"/>
    <w:qFormat/>
    <w:uiPriority w:val="0"/>
    <w:pPr>
      <w:keepNext/>
      <w:tabs>
        <w:tab w:val="left" w:pos="851"/>
      </w:tabs>
      <w:ind w:left="851" w:hanging="851"/>
    </w:pPr>
    <w:rPr>
      <w:rFonts w:ascii="宋体" w:hAnsi="宋体"/>
      <w:color w:val="000000"/>
      <w:kern w:val="28"/>
      <w:sz w:val="28"/>
    </w:rPr>
  </w:style>
  <w:style w:type="paragraph" w:customStyle="1" w:styleId="354">
    <w:name w:val="Char Char Char Char Char Char Char Char Char Char1"/>
    <w:basedOn w:val="1"/>
    <w:qFormat/>
    <w:uiPriority w:val="0"/>
    <w:pPr>
      <w:tabs>
        <w:tab w:val="left" w:pos="425"/>
      </w:tabs>
      <w:spacing w:line="240" w:lineRule="auto"/>
      <w:ind w:left="425" w:hanging="425"/>
    </w:pPr>
    <w:rPr>
      <w:rFonts w:ascii="Arial" w:hAnsi="Arial" w:eastAsia="黑体"/>
      <w:b/>
      <w:sz w:val="32"/>
    </w:rPr>
  </w:style>
  <w:style w:type="paragraph" w:customStyle="1" w:styleId="355">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Arial Unicode MS" w:hAnsi="Arial Unicode MS"/>
      <w:kern w:val="0"/>
    </w:rPr>
  </w:style>
  <w:style w:type="paragraph" w:customStyle="1" w:styleId="356">
    <w:name w:val="样式 标书正文"/>
    <w:basedOn w:val="124"/>
    <w:qFormat/>
    <w:uiPriority w:val="0"/>
    <w:rPr>
      <w:spacing w:val="6"/>
      <w:kern w:val="0"/>
    </w:rPr>
  </w:style>
  <w:style w:type="paragraph" w:customStyle="1" w:styleId="357">
    <w:name w:val="font8"/>
    <w:basedOn w:val="1"/>
    <w:qFormat/>
    <w:uiPriority w:val="0"/>
    <w:pPr>
      <w:widowControl/>
      <w:spacing w:before="100" w:beforeAutospacing="1" w:after="100" w:afterAutospacing="1" w:line="240" w:lineRule="auto"/>
    </w:pPr>
    <w:rPr>
      <w:kern w:val="0"/>
      <w:sz w:val="16"/>
    </w:rPr>
  </w:style>
  <w:style w:type="paragraph" w:customStyle="1" w:styleId="358">
    <w:name w:val="表1"/>
    <w:basedOn w:val="1"/>
    <w:qFormat/>
    <w:uiPriority w:val="0"/>
    <w:pPr>
      <w:widowControl/>
      <w:wordWrap w:val="0"/>
      <w:adjustRightInd w:val="0"/>
      <w:snapToGrid w:val="0"/>
      <w:spacing w:line="240" w:lineRule="atLeast"/>
      <w:textAlignment w:val="center"/>
    </w:pPr>
    <w:rPr>
      <w:rFonts w:ascii="黑体"/>
      <w:sz w:val="18"/>
    </w:rPr>
  </w:style>
  <w:style w:type="paragraph" w:customStyle="1" w:styleId="359">
    <w:name w:val="表格中 5号居中无空格"/>
    <w:basedOn w:val="360"/>
    <w:qFormat/>
    <w:uiPriority w:val="0"/>
    <w:pPr>
      <w:jc w:val="center"/>
    </w:pPr>
    <w:rPr>
      <w:rFonts w:hAnsi="宋体"/>
      <w:sz w:val="21"/>
    </w:rPr>
  </w:style>
  <w:style w:type="paragraph" w:customStyle="1" w:styleId="360">
    <w:name w:val="正文（无开头空两格）"/>
    <w:basedOn w:val="124"/>
    <w:qFormat/>
    <w:uiPriority w:val="0"/>
    <w:pPr>
      <w:ind w:firstLine="0" w:firstLineChars="0"/>
    </w:pPr>
  </w:style>
  <w:style w:type="paragraph" w:customStyle="1" w:styleId="361">
    <w:name w:val="标号"/>
    <w:basedOn w:val="1"/>
    <w:qFormat/>
    <w:uiPriority w:val="0"/>
    <w:pPr>
      <w:keepNext/>
      <w:keepLines/>
      <w:widowControl/>
      <w:suppressLineNumbers/>
      <w:suppressAutoHyphens/>
      <w:jc w:val="center"/>
    </w:pPr>
    <w:rPr>
      <w:rFonts w:ascii="仿宋_GB2312" w:eastAsia="仿宋_GB2312"/>
      <w:b/>
      <w:kern w:val="32"/>
      <w:sz w:val="32"/>
    </w:rPr>
  </w:style>
  <w:style w:type="paragraph" w:customStyle="1" w:styleId="362">
    <w:name w:val="±íÍ·"/>
    <w:basedOn w:val="1"/>
    <w:qFormat/>
    <w:uiPriority w:val="0"/>
    <w:pPr>
      <w:tabs>
        <w:tab w:val="left" w:pos="480"/>
      </w:tabs>
      <w:spacing w:line="240" w:lineRule="auto"/>
      <w:jc w:val="center"/>
    </w:pPr>
    <w:rPr>
      <w:rFonts w:ascii="宋体"/>
      <w:kern w:val="0"/>
      <w:sz w:val="21"/>
    </w:rPr>
  </w:style>
  <w:style w:type="paragraph" w:customStyle="1" w:styleId="363">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Verdana" w:hAnsi="Verdana"/>
      <w:kern w:val="0"/>
    </w:rPr>
  </w:style>
  <w:style w:type="paragraph" w:customStyle="1" w:styleId="364">
    <w:name w:val="xl90"/>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365">
    <w:name w:val="表格"/>
    <w:qFormat/>
    <w:uiPriority w:val="0"/>
    <w:pPr>
      <w:adjustRightInd w:val="0"/>
      <w:snapToGrid w:val="0"/>
      <w:spacing w:line="240" w:lineRule="exact"/>
      <w:ind w:left="709" w:hanging="482"/>
      <w:jc w:val="center"/>
    </w:pPr>
    <w:rPr>
      <w:rFonts w:ascii="Times New Roman" w:hAnsi="Times New Roman" w:eastAsia="宋体" w:cs="Times New Roman"/>
      <w:snapToGrid w:val="0"/>
      <w:color w:val="000000"/>
      <w:sz w:val="22"/>
      <w:lang w:val="en-US" w:eastAsia="zh-CN" w:bidi="ar-SA"/>
    </w:rPr>
  </w:style>
  <w:style w:type="paragraph" w:customStyle="1" w:styleId="366">
    <w:name w:val="样式3-5"/>
    <w:basedOn w:val="185"/>
    <w:qFormat/>
    <w:uiPriority w:val="0"/>
    <w:pPr>
      <w:tabs>
        <w:tab w:val="left" w:pos="720"/>
      </w:tabs>
      <w:spacing w:after="120"/>
      <w:ind w:firstLine="360"/>
      <w:jc w:val="left"/>
    </w:pPr>
  </w:style>
  <w:style w:type="paragraph" w:customStyle="1" w:styleId="367">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hint="eastAsia" w:ascii="宋体" w:hAnsi="宋体"/>
      <w:kern w:val="0"/>
    </w:rPr>
  </w:style>
  <w:style w:type="paragraph" w:customStyle="1" w:styleId="368">
    <w:name w:val="封面"/>
    <w:basedOn w:val="64"/>
    <w:qFormat/>
    <w:uiPriority w:val="0"/>
    <w:pPr>
      <w:spacing w:before="0" w:after="0" w:line="360" w:lineRule="auto"/>
      <w:ind w:firstLine="425"/>
      <w:outlineLvl w:val="0"/>
    </w:pPr>
    <w:rPr>
      <w:rFonts w:ascii="仿宋_GB2312" w:hAnsi="Times New Roman" w:eastAsia="仿宋_GB2312"/>
      <w:b w:val="0"/>
      <w:kern w:val="52"/>
      <w:sz w:val="28"/>
    </w:rPr>
  </w:style>
  <w:style w:type="paragraph" w:customStyle="1" w:styleId="369">
    <w:name w:val="xl27"/>
    <w:basedOn w:val="1"/>
    <w:qFormat/>
    <w:uiPriority w:val="0"/>
    <w:pPr>
      <w:widowControl/>
      <w:pBdr>
        <w:top w:val="single" w:color="auto" w:sz="8" w:space="0"/>
        <w:left w:val="single" w:color="auto" w:sz="8" w:space="0"/>
        <w:bottom w:val="single" w:color="auto" w:sz="4" w:space="0"/>
        <w:right w:val="single" w:color="auto" w:sz="12" w:space="0"/>
      </w:pBdr>
      <w:spacing w:before="100" w:beforeAutospacing="1" w:after="100" w:afterAutospacing="1" w:line="240" w:lineRule="auto"/>
      <w:jc w:val="center"/>
      <w:textAlignment w:val="center"/>
    </w:pPr>
    <w:rPr>
      <w:rFonts w:ascii="Arial Unicode MS" w:hAnsi="Arial Unicode MS"/>
      <w:b/>
      <w:kern w:val="0"/>
      <w:sz w:val="22"/>
      <w:lang w:eastAsia="en-US"/>
    </w:rPr>
  </w:style>
  <w:style w:type="paragraph" w:customStyle="1" w:styleId="370">
    <w:name w:val="font5"/>
    <w:basedOn w:val="1"/>
    <w:qFormat/>
    <w:uiPriority w:val="0"/>
    <w:pPr>
      <w:widowControl/>
      <w:spacing w:before="100" w:beforeAutospacing="1" w:after="100" w:afterAutospacing="1" w:line="240" w:lineRule="auto"/>
    </w:pPr>
    <w:rPr>
      <w:rFonts w:hint="eastAsia" w:ascii="宋体" w:hAnsi="宋体"/>
      <w:kern w:val="0"/>
      <w:sz w:val="18"/>
    </w:rPr>
  </w:style>
  <w:style w:type="paragraph" w:customStyle="1" w:styleId="371">
    <w:name w:val="样式18"/>
    <w:basedOn w:val="185"/>
    <w:qFormat/>
    <w:uiPriority w:val="0"/>
    <w:pPr>
      <w:keepLines w:val="0"/>
      <w:widowControl w:val="0"/>
      <w:suppressLineNumbers w:val="0"/>
      <w:tabs>
        <w:tab w:val="left" w:pos="1134"/>
      </w:tabs>
      <w:suppressAutoHyphens w:val="0"/>
      <w:ind w:left="1134" w:hanging="567"/>
      <w:jc w:val="left"/>
    </w:pPr>
    <w:rPr>
      <w:rFonts w:ascii="Times New Roman"/>
      <w:b/>
    </w:rPr>
  </w:style>
  <w:style w:type="paragraph" w:customStyle="1" w:styleId="372">
    <w:name w:val="招标文件》"/>
    <w:basedOn w:val="373"/>
    <w:qFormat/>
    <w:uiPriority w:val="0"/>
    <w:pPr>
      <w:tabs>
        <w:tab w:val="left" w:pos="560"/>
      </w:tabs>
      <w:ind w:left="200" w:firstLine="0" w:firstLineChars="0"/>
    </w:pPr>
  </w:style>
  <w:style w:type="paragraph" w:customStyle="1" w:styleId="373">
    <w:name w:val="招标文件正文"/>
    <w:link w:val="1150"/>
    <w:qFormat/>
    <w:uiPriority w:val="0"/>
    <w:pPr>
      <w:spacing w:before="120" w:after="120" w:line="300" w:lineRule="auto"/>
      <w:ind w:left="709" w:firstLine="200" w:firstLineChars="200"/>
    </w:pPr>
    <w:rPr>
      <w:rFonts w:ascii="宋体" w:hAnsi="Times New Roman" w:eastAsia="宋体" w:cs="Times New Roman"/>
      <w:spacing w:val="10"/>
      <w:w w:val="95"/>
      <w:sz w:val="21"/>
      <w:lang w:val="en-US" w:eastAsia="zh-CN" w:bidi="ar-SA"/>
    </w:rPr>
  </w:style>
  <w:style w:type="paragraph" w:customStyle="1" w:styleId="374">
    <w:name w:val="样式2"/>
    <w:basedOn w:val="1"/>
    <w:qFormat/>
    <w:uiPriority w:val="0"/>
    <w:pPr>
      <w:tabs>
        <w:tab w:val="left" w:pos="560"/>
        <w:tab w:val="left" w:pos="1120"/>
      </w:tabs>
      <w:spacing w:line="700" w:lineRule="atLeast"/>
    </w:pPr>
    <w:rPr>
      <w:rFonts w:eastAsia="创艺简黑体"/>
      <w:b/>
      <w:sz w:val="30"/>
    </w:rPr>
  </w:style>
  <w:style w:type="paragraph" w:customStyle="1" w:styleId="375">
    <w:name w:val="招标文件1"/>
    <w:basedOn w:val="1"/>
    <w:qFormat/>
    <w:uiPriority w:val="0"/>
    <w:pPr>
      <w:tabs>
        <w:tab w:val="left" w:pos="420"/>
      </w:tabs>
      <w:spacing w:before="120" w:after="120" w:line="480" w:lineRule="exact"/>
      <w:ind w:left="200"/>
      <w:outlineLvl w:val="1"/>
    </w:pPr>
    <w:rPr>
      <w:rFonts w:ascii="宋体"/>
      <w:b/>
      <w:spacing w:val="10"/>
      <w:w w:val="95"/>
      <w:kern w:val="0"/>
      <w:sz w:val="28"/>
    </w:rPr>
  </w:style>
  <w:style w:type="paragraph" w:customStyle="1" w:styleId="376">
    <w:name w:val="标题1111"/>
    <w:basedOn w:val="3"/>
    <w:qFormat/>
    <w:uiPriority w:val="0"/>
    <w:pPr>
      <w:keepLines w:val="0"/>
      <w:numPr>
        <w:numId w:val="0"/>
      </w:numPr>
      <w:tabs>
        <w:tab w:val="left" w:pos="567"/>
      </w:tabs>
      <w:autoSpaceDE/>
      <w:spacing w:before="0" w:after="0"/>
      <w:ind w:left="567" w:hanging="567"/>
    </w:pPr>
    <w:rPr>
      <w:rFonts w:ascii="仿宋_GB2312" w:hAnsi="宋体" w:eastAsia="仿宋_GB2312"/>
      <w:kern w:val="28"/>
      <w:sz w:val="32"/>
    </w:rPr>
  </w:style>
  <w:style w:type="paragraph" w:customStyle="1" w:styleId="377">
    <w:name w:val="样式9"/>
    <w:basedOn w:val="1"/>
    <w:qFormat/>
    <w:uiPriority w:val="0"/>
    <w:pPr>
      <w:keepNext/>
      <w:tabs>
        <w:tab w:val="left" w:pos="1134"/>
      </w:tabs>
      <w:ind w:left="1134" w:hanging="567"/>
      <w:jc w:val="center"/>
    </w:pPr>
    <w:rPr>
      <w:rFonts w:eastAsia="仿宋_GB2312"/>
      <w:b/>
      <w:kern w:val="28"/>
      <w:sz w:val="28"/>
    </w:rPr>
  </w:style>
  <w:style w:type="paragraph" w:customStyle="1" w:styleId="378">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Verdana" w:hAnsi="Verdana"/>
      <w:kern w:val="0"/>
    </w:rPr>
  </w:style>
  <w:style w:type="paragraph" w:customStyle="1" w:styleId="379">
    <w:name w:val="h4tkst"/>
    <w:basedOn w:val="380"/>
    <w:qFormat/>
    <w:uiPriority w:val="0"/>
    <w:pPr>
      <w:spacing w:line="240" w:lineRule="auto"/>
    </w:pPr>
    <w:rPr>
      <w:b w:val="0"/>
    </w:rPr>
  </w:style>
  <w:style w:type="paragraph" w:customStyle="1" w:styleId="380">
    <w:name w:val="h3tkst"/>
    <w:basedOn w:val="1"/>
    <w:qFormat/>
    <w:uiPriority w:val="0"/>
    <w:pPr>
      <w:widowControl/>
      <w:spacing w:before="120" w:after="120"/>
      <w:ind w:left="851" w:right="397"/>
    </w:pPr>
    <w:rPr>
      <w:rFonts w:ascii="Arial" w:hAnsi="Arial"/>
      <w:b/>
      <w:kern w:val="0"/>
      <w:sz w:val="22"/>
      <w:lang w:val="en-GB"/>
    </w:rPr>
  </w:style>
  <w:style w:type="paragraph" w:customStyle="1" w:styleId="381">
    <w:name w:val="样式 Times New Roman 首行缩进:  2 字符 左  2 字符"/>
    <w:basedOn w:val="1"/>
    <w:qFormat/>
    <w:uiPriority w:val="0"/>
    <w:pPr>
      <w:spacing w:line="560" w:lineRule="exact"/>
      <w:ind w:left="600" w:leftChars="200" w:firstLine="600" w:firstLineChars="200"/>
    </w:pPr>
    <w:rPr>
      <w:sz w:val="28"/>
    </w:rPr>
  </w:style>
  <w:style w:type="paragraph" w:customStyle="1" w:styleId="382">
    <w:name w:val="招标文件格式1"/>
    <w:basedOn w:val="1"/>
    <w:qFormat/>
    <w:uiPriority w:val="0"/>
    <w:pPr>
      <w:pageBreakBefore/>
      <w:spacing w:before="120" w:after="120" w:line="480" w:lineRule="exact"/>
      <w:outlineLvl w:val="1"/>
    </w:pPr>
    <w:rPr>
      <w:rFonts w:ascii="宋体"/>
      <w:b/>
      <w:spacing w:val="10"/>
      <w:w w:val="95"/>
      <w:kern w:val="0"/>
      <w:sz w:val="28"/>
    </w:rPr>
  </w:style>
  <w:style w:type="paragraph" w:customStyle="1" w:styleId="383">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hint="eastAsia" w:ascii="宋体" w:hAnsi="宋体"/>
      <w:b/>
      <w:kern w:val="0"/>
    </w:rPr>
  </w:style>
  <w:style w:type="paragraph" w:customStyle="1" w:styleId="384">
    <w:name w:val="Normal Style 01"/>
    <w:basedOn w:val="1"/>
    <w:qFormat/>
    <w:uiPriority w:val="0"/>
    <w:pPr>
      <w:widowControl/>
      <w:overflowPunct w:val="0"/>
      <w:autoSpaceDE w:val="0"/>
      <w:autoSpaceDN w:val="0"/>
      <w:adjustRightInd w:val="0"/>
      <w:spacing w:line="317" w:lineRule="auto"/>
      <w:ind w:firstLine="567"/>
      <w:textAlignment w:val="baseline"/>
    </w:pPr>
    <w:rPr>
      <w:rFonts w:ascii="Arial" w:hAnsi="Arial"/>
      <w:spacing w:val="6"/>
      <w:kern w:val="0"/>
      <w:sz w:val="22"/>
      <w:lang w:val="en-GB"/>
    </w:rPr>
  </w:style>
  <w:style w:type="paragraph" w:customStyle="1" w:styleId="385">
    <w:name w:val="6.2.2"/>
    <w:basedOn w:val="1"/>
    <w:qFormat/>
    <w:uiPriority w:val="0"/>
    <w:pPr>
      <w:autoSpaceDE w:val="0"/>
      <w:autoSpaceDN w:val="0"/>
      <w:adjustRightInd w:val="0"/>
      <w:ind w:left="493" w:firstLine="0"/>
    </w:pPr>
    <w:rPr>
      <w:kern w:val="0"/>
    </w:rPr>
  </w:style>
  <w:style w:type="paragraph" w:customStyle="1" w:styleId="386">
    <w:name w:val="封面3"/>
    <w:basedOn w:val="1"/>
    <w:qFormat/>
    <w:uiPriority w:val="0"/>
    <w:pPr>
      <w:adjustRightInd w:val="0"/>
      <w:snapToGrid w:val="0"/>
      <w:spacing w:before="100" w:beforeAutospacing="1" w:after="100" w:afterAutospacing="1" w:line="240" w:lineRule="auto"/>
      <w:ind w:left="1351" w:leftChars="-5" w:hanging="1351" w:hangingChars="9"/>
      <w:jc w:val="center"/>
    </w:pPr>
    <w:rPr>
      <w:b/>
      <w:sz w:val="36"/>
    </w:rPr>
  </w:style>
  <w:style w:type="paragraph" w:customStyle="1" w:styleId="387">
    <w:name w:val="四号线正文 Char1"/>
    <w:basedOn w:val="1"/>
    <w:qFormat/>
    <w:uiPriority w:val="0"/>
    <w:pPr>
      <w:spacing w:line="500" w:lineRule="exact"/>
      <w:ind w:firstLine="425"/>
    </w:pPr>
    <w:rPr>
      <w:rFonts w:ascii="宋体" w:hAnsi="宋体"/>
    </w:rPr>
  </w:style>
  <w:style w:type="paragraph" w:customStyle="1" w:styleId="388">
    <w:name w:val="招标文件正文居中"/>
    <w:qFormat/>
    <w:uiPriority w:val="0"/>
    <w:pPr>
      <w:spacing w:before="120" w:after="120" w:line="300" w:lineRule="auto"/>
      <w:ind w:left="709" w:hanging="482"/>
      <w:jc w:val="center"/>
    </w:pPr>
    <w:rPr>
      <w:rFonts w:ascii="宋体" w:hAnsi="Times New Roman" w:eastAsia="宋体" w:cs="Times New Roman"/>
      <w:spacing w:val="10"/>
      <w:w w:val="95"/>
      <w:sz w:val="21"/>
      <w:lang w:val="en-US" w:eastAsia="zh-CN" w:bidi="ar-SA"/>
    </w:rPr>
  </w:style>
  <w:style w:type="paragraph" w:customStyle="1" w:styleId="389">
    <w:name w:val="h4tkstind"/>
    <w:basedOn w:val="242"/>
    <w:qFormat/>
    <w:uiPriority w:val="0"/>
    <w:pPr>
      <w:ind w:left="2268" w:hanging="567"/>
    </w:pPr>
  </w:style>
  <w:style w:type="paragraph" w:customStyle="1" w:styleId="390">
    <w:name w:val="xl87"/>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pPr>
    <w:rPr>
      <w:rFonts w:ascii="宋体" w:hAnsi="宋体"/>
      <w:kern w:val="0"/>
      <w:sz w:val="20"/>
    </w:rPr>
  </w:style>
  <w:style w:type="paragraph" w:customStyle="1" w:styleId="39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hint="eastAsia" w:ascii="宋体" w:hAnsi="宋体"/>
      <w:b/>
      <w:kern w:val="0"/>
    </w:rPr>
  </w:style>
  <w:style w:type="paragraph" w:customStyle="1" w:styleId="392">
    <w:name w:val="Char Char Char Char Char"/>
    <w:basedOn w:val="1"/>
    <w:qFormat/>
    <w:uiPriority w:val="0"/>
    <w:pPr>
      <w:spacing w:line="240" w:lineRule="auto"/>
    </w:pPr>
    <w:rPr>
      <w:rFonts w:ascii="Tahoma" w:hAnsi="Tahoma"/>
    </w:rPr>
  </w:style>
  <w:style w:type="paragraph" w:customStyle="1" w:styleId="393">
    <w:name w:val="xl69"/>
    <w:basedOn w:val="1"/>
    <w:qFormat/>
    <w:uiPriority w:val="0"/>
    <w:pPr>
      <w:widowControl/>
      <w:pBdr>
        <w:top w:val="single" w:color="auto" w:sz="4" w:space="0"/>
        <w:left w:val="single" w:color="auto" w:sz="8" w:space="0"/>
        <w:bottom w:val="single" w:color="auto" w:sz="8" w:space="0"/>
        <w:right w:val="single" w:color="auto" w:sz="8" w:space="0"/>
      </w:pBdr>
      <w:spacing w:before="100" w:beforeAutospacing="1" w:after="100" w:afterAutospacing="1" w:line="240" w:lineRule="auto"/>
      <w:jc w:val="center"/>
      <w:textAlignment w:val="bottom"/>
    </w:pPr>
    <w:rPr>
      <w:rFonts w:ascii="宋体" w:hAnsi="宋体"/>
      <w:kern w:val="0"/>
      <w:sz w:val="20"/>
    </w:rPr>
  </w:style>
  <w:style w:type="paragraph" w:customStyle="1" w:styleId="394">
    <w:name w:val="Normal 0li"/>
    <w:basedOn w:val="1"/>
    <w:qFormat/>
    <w:uiPriority w:val="0"/>
    <w:pPr>
      <w:widowControl/>
      <w:spacing w:line="240" w:lineRule="auto"/>
    </w:pPr>
    <w:rPr>
      <w:rFonts w:ascii="FuturaA Bk BT" w:hAnsi="FuturaA Bk BT"/>
      <w:kern w:val="0"/>
      <w:sz w:val="20"/>
      <w:lang w:eastAsia="en-US"/>
    </w:rPr>
  </w:style>
  <w:style w:type="paragraph" w:customStyle="1" w:styleId="395">
    <w:name w:val="技术标题2"/>
    <w:basedOn w:val="396"/>
    <w:qFormat/>
    <w:uiPriority w:val="0"/>
    <w:pPr>
      <w:tabs>
        <w:tab w:val="left" w:pos="340"/>
      </w:tabs>
      <w:spacing w:before="468" w:beforeLines="150" w:line="240" w:lineRule="auto"/>
    </w:pPr>
  </w:style>
  <w:style w:type="paragraph" w:customStyle="1" w:styleId="396">
    <w:name w:val="技术标题1"/>
    <w:basedOn w:val="6"/>
    <w:qFormat/>
    <w:uiPriority w:val="0"/>
    <w:pPr>
      <w:numPr>
        <w:ilvl w:val="0"/>
        <w:numId w:val="0"/>
      </w:numPr>
      <w:spacing w:before="312" w:beforeLines="100" w:after="156" w:afterLines="50"/>
    </w:pPr>
    <w:rPr>
      <w:rFonts w:ascii="Arial"/>
      <w:b/>
      <w:sz w:val="32"/>
    </w:rPr>
  </w:style>
  <w:style w:type="paragraph" w:customStyle="1" w:styleId="397">
    <w:name w:val="S07-Synchronisation"/>
    <w:basedOn w:val="1"/>
    <w:next w:val="1"/>
    <w:qFormat/>
    <w:uiPriority w:val="0"/>
    <w:pPr>
      <w:widowControl/>
      <w:spacing w:line="240" w:lineRule="auto"/>
    </w:pPr>
    <w:rPr>
      <w:rFonts w:ascii="Arial" w:hAnsi="Arial"/>
      <w:kern w:val="0"/>
      <w:sz w:val="22"/>
      <w:lang w:eastAsia="en-US"/>
    </w:rPr>
  </w:style>
  <w:style w:type="paragraph" w:customStyle="1" w:styleId="398">
    <w:name w:val="标题2"/>
    <w:basedOn w:val="45"/>
    <w:qFormat/>
    <w:uiPriority w:val="0"/>
    <w:pPr>
      <w:snapToGrid w:val="0"/>
      <w:spacing w:line="360" w:lineRule="auto"/>
    </w:pPr>
    <w:rPr>
      <w:rFonts w:hAnsi="宋体"/>
      <w:b/>
    </w:rPr>
  </w:style>
  <w:style w:type="paragraph" w:customStyle="1" w:styleId="399">
    <w:name w:val="xl80"/>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jc w:val="center"/>
    </w:pPr>
    <w:rPr>
      <w:rFonts w:ascii="宋体" w:hAnsi="宋体"/>
      <w:b/>
      <w:kern w:val="0"/>
      <w:sz w:val="21"/>
    </w:rPr>
  </w:style>
  <w:style w:type="paragraph" w:customStyle="1" w:styleId="400">
    <w:name w:val="样式 标书正文 + (符号) 宋体 黑色 首行缩进:  2 字符"/>
    <w:basedOn w:val="124"/>
    <w:qFormat/>
    <w:uiPriority w:val="0"/>
    <w:pPr>
      <w:ind w:firstLine="504"/>
    </w:pPr>
    <w:rPr>
      <w:rFonts w:hAnsi="宋体"/>
      <w:color w:val="000000"/>
      <w:spacing w:val="6"/>
      <w:kern w:val="0"/>
    </w:rPr>
  </w:style>
  <w:style w:type="paragraph" w:customStyle="1" w:styleId="401">
    <w:name w:val="南京通信正文"/>
    <w:basedOn w:val="1"/>
    <w:qFormat/>
    <w:uiPriority w:val="0"/>
    <w:pPr>
      <w:tabs>
        <w:tab w:val="left" w:pos="1260"/>
      </w:tabs>
      <w:adjustRightInd w:val="0"/>
      <w:ind w:firstLine="200" w:firstLineChars="200"/>
      <w:textAlignment w:val="baseline"/>
    </w:pPr>
  </w:style>
  <w:style w:type="paragraph" w:customStyle="1" w:styleId="402">
    <w:name w:val="样式14"/>
    <w:basedOn w:val="1"/>
    <w:qFormat/>
    <w:uiPriority w:val="0"/>
    <w:pPr>
      <w:keepNext/>
      <w:tabs>
        <w:tab w:val="left" w:pos="1134"/>
      </w:tabs>
      <w:ind w:left="1134" w:hanging="567"/>
      <w:jc w:val="center"/>
    </w:pPr>
    <w:rPr>
      <w:rFonts w:ascii="黑体" w:eastAsia="仿宋_GB2312"/>
      <w:b/>
      <w:kern w:val="28"/>
      <w:sz w:val="28"/>
    </w:rPr>
  </w:style>
  <w:style w:type="paragraph" w:customStyle="1" w:styleId="403">
    <w:name w:val="目录 71"/>
    <w:basedOn w:val="1"/>
    <w:next w:val="1"/>
    <w:qFormat/>
    <w:uiPriority w:val="39"/>
    <w:pPr>
      <w:ind w:left="1440"/>
    </w:pPr>
    <w:rPr>
      <w:sz w:val="18"/>
    </w:rPr>
  </w:style>
  <w:style w:type="paragraph" w:customStyle="1" w:styleId="404">
    <w:name w:val="样式3-32"/>
    <w:basedOn w:val="177"/>
    <w:qFormat/>
    <w:uiPriority w:val="0"/>
    <w:pPr>
      <w:tabs>
        <w:tab w:val="left" w:pos="1134"/>
      </w:tabs>
      <w:ind w:left="1134" w:hanging="567"/>
    </w:pPr>
  </w:style>
  <w:style w:type="paragraph" w:customStyle="1" w:styleId="405">
    <w:name w:val="目录3"/>
    <w:basedOn w:val="406"/>
    <w:qFormat/>
    <w:uiPriority w:val="0"/>
    <w:pPr>
      <w:keepNext/>
      <w:keepLines/>
      <w:widowControl/>
      <w:suppressLineNumbers/>
      <w:suppressAutoHyphens/>
    </w:pPr>
    <w:rPr>
      <w:rFonts w:eastAsia="仿宋_GB2312"/>
      <w:kern w:val="28"/>
      <w:sz w:val="28"/>
    </w:rPr>
  </w:style>
  <w:style w:type="paragraph" w:customStyle="1" w:styleId="406">
    <w:name w:val="目录 11"/>
    <w:basedOn w:val="1"/>
    <w:next w:val="1"/>
    <w:qFormat/>
    <w:uiPriority w:val="39"/>
    <w:pPr>
      <w:spacing w:before="120" w:after="120"/>
    </w:pPr>
    <w:rPr>
      <w:b/>
      <w:caps/>
      <w:sz w:val="20"/>
    </w:rPr>
  </w:style>
  <w:style w:type="paragraph" w:customStyle="1" w:styleId="407">
    <w:name w:val="样式3-1"/>
    <w:basedOn w:val="1"/>
    <w:qFormat/>
    <w:uiPriority w:val="0"/>
    <w:pPr>
      <w:keepNext/>
      <w:keepLines/>
      <w:widowControl/>
      <w:suppressLineNumbers/>
      <w:tabs>
        <w:tab w:val="left" w:pos="1134"/>
      </w:tabs>
      <w:suppressAutoHyphens/>
      <w:ind w:left="1134" w:hanging="567"/>
    </w:pPr>
    <w:rPr>
      <w:rFonts w:eastAsia="仿宋_GB2312"/>
      <w:b/>
      <w:kern w:val="28"/>
      <w:sz w:val="28"/>
    </w:rPr>
  </w:style>
  <w:style w:type="paragraph" w:customStyle="1" w:styleId="408">
    <w:name w:val="目录 41"/>
    <w:basedOn w:val="1"/>
    <w:next w:val="1"/>
    <w:qFormat/>
    <w:uiPriority w:val="39"/>
    <w:pPr>
      <w:ind w:left="720"/>
    </w:pPr>
    <w:rPr>
      <w:sz w:val="18"/>
    </w:rPr>
  </w:style>
  <w:style w:type="paragraph" w:customStyle="1" w:styleId="409">
    <w:name w:val="样式 左侧:  0 厘米 悬挂缩进: 1.25 字符"/>
    <w:basedOn w:val="1"/>
    <w:qFormat/>
    <w:uiPriority w:val="0"/>
    <w:pPr>
      <w:spacing w:line="240" w:lineRule="auto"/>
    </w:pPr>
    <w:rPr>
      <w:sz w:val="28"/>
    </w:rPr>
  </w:style>
  <w:style w:type="paragraph" w:customStyle="1" w:styleId="410">
    <w:name w:val="样式 样式 (符号) 宋体 五号 蓝色 居中 行距: 单倍行距 + 自动设置"/>
    <w:basedOn w:val="1"/>
    <w:qFormat/>
    <w:uiPriority w:val="0"/>
    <w:pPr>
      <w:spacing w:line="240" w:lineRule="auto"/>
      <w:jc w:val="center"/>
    </w:pPr>
    <w:rPr>
      <w:rFonts w:ascii="宋体" w:hAnsi="宋体"/>
      <w:kern w:val="0"/>
      <w:sz w:val="21"/>
    </w:rPr>
  </w:style>
  <w:style w:type="paragraph" w:customStyle="1" w:styleId="411">
    <w:name w:val="招标文件标题"/>
    <w:qFormat/>
    <w:uiPriority w:val="0"/>
    <w:pPr>
      <w:spacing w:before="120" w:after="120" w:line="480" w:lineRule="exact"/>
      <w:ind w:left="709" w:hanging="482"/>
      <w:jc w:val="center"/>
      <w:outlineLvl w:val="0"/>
    </w:pPr>
    <w:rPr>
      <w:rFonts w:ascii="宋体" w:hAnsi="Times New Roman" w:eastAsia="宋体" w:cs="Times New Roman"/>
      <w:b/>
      <w:spacing w:val="10"/>
      <w:w w:val="95"/>
      <w:sz w:val="30"/>
      <w:lang w:val="en-US" w:eastAsia="zh-CN" w:bidi="ar-SA"/>
    </w:rPr>
  </w:style>
  <w:style w:type="paragraph" w:customStyle="1" w:styleId="412">
    <w:name w:val="招标文件1.1.1.1"/>
    <w:basedOn w:val="1"/>
    <w:qFormat/>
    <w:uiPriority w:val="0"/>
    <w:pPr>
      <w:spacing w:before="120" w:after="120" w:line="480" w:lineRule="exact"/>
      <w:ind w:left="200"/>
      <w:outlineLvl w:val="4"/>
    </w:pPr>
    <w:rPr>
      <w:rFonts w:ascii="宋体"/>
      <w:b/>
      <w:spacing w:val="10"/>
      <w:w w:val="95"/>
      <w:sz w:val="21"/>
    </w:rPr>
  </w:style>
  <w:style w:type="paragraph" w:customStyle="1" w:styleId="413">
    <w:name w:val="文本框1"/>
    <w:qFormat/>
    <w:uiPriority w:val="0"/>
    <w:pPr>
      <w:spacing w:line="360" w:lineRule="auto"/>
      <w:ind w:left="709" w:hanging="482"/>
      <w:jc w:val="center"/>
    </w:pPr>
    <w:rPr>
      <w:rFonts w:ascii="宋体" w:hAnsi="Times New Roman" w:eastAsia="宋体" w:cs="Times New Roman"/>
      <w:spacing w:val="6"/>
      <w:w w:val="95"/>
      <w:sz w:val="24"/>
      <w:lang w:val="en-US" w:eastAsia="zh-CN" w:bidi="ar-SA"/>
    </w:rPr>
  </w:style>
  <w:style w:type="paragraph" w:customStyle="1" w:styleId="414">
    <w:name w:val="正文3"/>
    <w:qFormat/>
    <w:uiPriority w:val="0"/>
    <w:pPr>
      <w:widowControl w:val="0"/>
      <w:adjustRightInd w:val="0"/>
      <w:spacing w:line="312" w:lineRule="atLeast"/>
      <w:ind w:left="709" w:hanging="482"/>
      <w:jc w:val="both"/>
      <w:textAlignment w:val="baseline"/>
    </w:pPr>
    <w:rPr>
      <w:rFonts w:ascii="宋体" w:hAnsi="Times New Roman" w:eastAsia="宋体" w:cs="Times New Roman"/>
      <w:sz w:val="34"/>
      <w:lang w:val="en-US" w:eastAsia="zh-CN" w:bidi="ar-SA"/>
    </w:rPr>
  </w:style>
  <w:style w:type="paragraph" w:customStyle="1" w:styleId="415">
    <w:name w:val="Grafik"/>
    <w:next w:val="1"/>
    <w:qFormat/>
    <w:uiPriority w:val="0"/>
    <w:pPr>
      <w:keepNext/>
      <w:keepLines/>
      <w:spacing w:before="240" w:after="120" w:line="360" w:lineRule="auto"/>
      <w:ind w:left="1134" w:hanging="482"/>
    </w:pPr>
    <w:rPr>
      <w:rFonts w:ascii="Arial" w:hAnsi="Arial" w:eastAsia="宋体" w:cs="Times New Roman"/>
      <w:sz w:val="22"/>
      <w:lang w:val="en-US" w:eastAsia="zh-CN" w:bidi="ar-SA"/>
    </w:rPr>
  </w:style>
  <w:style w:type="paragraph" w:customStyle="1" w:styleId="416">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hint="eastAsia" w:ascii="宋体" w:hAnsi="宋体"/>
      <w:kern w:val="0"/>
    </w:rPr>
  </w:style>
  <w:style w:type="paragraph" w:customStyle="1" w:styleId="417">
    <w:name w:val="zField10p3bC"/>
    <w:basedOn w:val="269"/>
    <w:qFormat/>
    <w:uiPriority w:val="0"/>
    <w:pPr>
      <w:spacing w:before="60"/>
      <w:ind w:left="57"/>
      <w:jc w:val="center"/>
    </w:pPr>
  </w:style>
  <w:style w:type="paragraph" w:customStyle="1" w:styleId="418">
    <w:name w:val="合同书"/>
    <w:basedOn w:val="1"/>
    <w:qFormat/>
    <w:uiPriority w:val="0"/>
    <w:pPr>
      <w:spacing w:after="312" w:afterLines="100" w:line="240" w:lineRule="auto"/>
      <w:jc w:val="center"/>
    </w:pPr>
    <w:rPr>
      <w:rFonts w:ascii="楷体_GB2312" w:eastAsia="楷体_GB2312"/>
      <w:b/>
      <w:color w:val="000000"/>
      <w:sz w:val="44"/>
    </w:rPr>
  </w:style>
  <w:style w:type="paragraph" w:customStyle="1" w:styleId="419">
    <w:name w:val="xl74"/>
    <w:basedOn w:val="1"/>
    <w:qFormat/>
    <w:uiPriority w:val="0"/>
    <w:pPr>
      <w:widowControl/>
      <w:pBdr>
        <w:top w:val="single" w:color="auto" w:sz="8" w:space="0"/>
        <w:left w:val="single" w:color="auto" w:sz="8" w:space="0"/>
        <w:bottom w:val="single" w:color="auto" w:sz="4"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420">
    <w:name w:val="签署"/>
    <w:basedOn w:val="1"/>
    <w:qFormat/>
    <w:uiPriority w:val="0"/>
    <w:pPr>
      <w:keepNext/>
      <w:keepLines/>
      <w:widowControl/>
      <w:suppressLineNumbers/>
      <w:suppressAutoHyphens/>
      <w:ind w:firstLine="800" w:firstLineChars="800"/>
    </w:pPr>
    <w:rPr>
      <w:rFonts w:eastAsia="楷体_GB2312"/>
      <w:b/>
      <w:kern w:val="28"/>
      <w:sz w:val="28"/>
    </w:rPr>
  </w:style>
  <w:style w:type="paragraph" w:customStyle="1" w:styleId="421">
    <w:name w:val="样式 1.2.1.1 海拔高度 +"/>
    <w:basedOn w:val="103"/>
    <w:qFormat/>
    <w:uiPriority w:val="0"/>
    <w:pPr>
      <w:numPr>
        <w:ilvl w:val="0"/>
        <w:numId w:val="0"/>
      </w:numPr>
      <w:ind w:left="1120" w:hanging="760"/>
    </w:pPr>
    <w:rPr>
      <w:kern w:val="0"/>
    </w:rPr>
  </w:style>
  <w:style w:type="paragraph" w:customStyle="1" w:styleId="422">
    <w:name w:val="标题31"/>
    <w:basedOn w:val="5"/>
    <w:qFormat/>
    <w:uiPriority w:val="0"/>
    <w:pPr>
      <w:keepLines w:val="0"/>
      <w:numPr>
        <w:ilvl w:val="0"/>
        <w:numId w:val="0"/>
      </w:numPr>
      <w:tabs>
        <w:tab w:val="left" w:pos="1134"/>
      </w:tabs>
      <w:ind w:left="1134" w:hanging="567" w:firstLineChars="200"/>
      <w:jc w:val="left"/>
    </w:pPr>
    <w:rPr>
      <w:rFonts w:ascii="仿宋_GB2312" w:hAnsi="宋体" w:eastAsia="仿宋_GB2312"/>
      <w:b/>
      <w:kern w:val="28"/>
      <w:sz w:val="28"/>
    </w:rPr>
  </w:style>
  <w:style w:type="paragraph" w:customStyle="1" w:styleId="423">
    <w:name w:val="五号线1)"/>
    <w:qFormat/>
    <w:uiPriority w:val="0"/>
    <w:pPr>
      <w:tabs>
        <w:tab w:val="left" w:pos="927"/>
      </w:tabs>
      <w:spacing w:line="500" w:lineRule="exact"/>
      <w:ind w:left="709" w:firstLine="567"/>
      <w:outlineLvl w:val="4"/>
    </w:pPr>
    <w:rPr>
      <w:rFonts w:ascii="宋体" w:hAnsi="Times New Roman" w:eastAsia="宋体" w:cs="Times New Roman"/>
      <w:spacing w:val="6"/>
      <w:w w:val="95"/>
      <w:sz w:val="24"/>
      <w:lang w:val="en-US" w:eastAsia="zh-CN" w:bidi="ar-SA"/>
    </w:rPr>
  </w:style>
  <w:style w:type="paragraph" w:customStyle="1" w:styleId="424">
    <w:name w:val="LAL"/>
    <w:qFormat/>
    <w:uiPriority w:val="0"/>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after="120" w:line="360" w:lineRule="auto"/>
      <w:ind w:left="3119" w:hanging="284"/>
    </w:pPr>
    <w:rPr>
      <w:rFonts w:ascii="Ascom Frutiger-Light" w:hAnsi="Ascom Frutiger-Light" w:eastAsia="宋体" w:cs="Times New Roman"/>
      <w:lang w:val="en-GB" w:eastAsia="en-US" w:bidi="ar-SA"/>
    </w:rPr>
  </w:style>
  <w:style w:type="paragraph" w:customStyle="1" w:styleId="425">
    <w:name w:val="Telephony"/>
    <w:basedOn w:val="1"/>
    <w:next w:val="1"/>
    <w:qFormat/>
    <w:uiPriority w:val="0"/>
    <w:pPr>
      <w:widowControl/>
      <w:spacing w:line="240" w:lineRule="auto"/>
    </w:pPr>
    <w:rPr>
      <w:rFonts w:ascii="Arial" w:hAnsi="Arial"/>
      <w:kern w:val="0"/>
      <w:sz w:val="22"/>
      <w:lang w:eastAsia="en-US"/>
    </w:rPr>
  </w:style>
  <w:style w:type="paragraph" w:customStyle="1" w:styleId="426">
    <w:name w:val="11"/>
    <w:basedOn w:val="64"/>
    <w:qFormat/>
    <w:uiPriority w:val="0"/>
    <w:pPr>
      <w:spacing w:before="0" w:after="0" w:line="360" w:lineRule="auto"/>
      <w:ind w:firstLine="425"/>
      <w:outlineLvl w:val="0"/>
    </w:pPr>
    <w:rPr>
      <w:rFonts w:ascii="仿宋_GB2312" w:hAnsi="Times New Roman" w:eastAsia="仿宋_GB2312"/>
      <w:b w:val="0"/>
      <w:kern w:val="52"/>
      <w:sz w:val="28"/>
    </w:rPr>
  </w:style>
  <w:style w:type="paragraph" w:customStyle="1" w:styleId="427">
    <w:name w:val="xl65"/>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jc w:val="center"/>
    </w:pPr>
    <w:rPr>
      <w:rFonts w:ascii="宋体" w:hAnsi="宋体"/>
      <w:b/>
      <w:kern w:val="0"/>
      <w:sz w:val="22"/>
    </w:rPr>
  </w:style>
  <w:style w:type="paragraph" w:customStyle="1" w:styleId="428">
    <w:name w:val="Table_Text"/>
    <w:basedOn w:val="1"/>
    <w:qFormat/>
    <w:uiPriority w:val="0"/>
    <w:pPr>
      <w:keepLines/>
      <w:tabs>
        <w:tab w:val="left" w:pos="794"/>
        <w:tab w:val="left" w:pos="1191"/>
        <w:tab w:val="left" w:pos="1588"/>
        <w:tab w:val="left" w:pos="1985"/>
      </w:tabs>
      <w:adjustRightInd w:val="0"/>
      <w:spacing w:before="100" w:after="100" w:line="240" w:lineRule="atLeast"/>
      <w:ind w:firstLine="425"/>
      <w:textAlignment w:val="baseline"/>
    </w:pPr>
    <w:rPr>
      <w:rFonts w:ascii="宋体"/>
      <w:kern w:val="0"/>
    </w:rPr>
  </w:style>
  <w:style w:type="paragraph" w:customStyle="1" w:styleId="429">
    <w:name w:val="xl93"/>
    <w:basedOn w:val="1"/>
    <w:qFormat/>
    <w:uiPriority w:val="0"/>
    <w:pPr>
      <w:widowControl/>
      <w:pBdr>
        <w:left w:val="single" w:color="auto" w:sz="8" w:space="0"/>
      </w:pBdr>
      <w:spacing w:before="100" w:beforeAutospacing="1" w:after="100" w:afterAutospacing="1" w:line="240" w:lineRule="auto"/>
      <w:jc w:val="center"/>
    </w:pPr>
    <w:rPr>
      <w:rFonts w:ascii="宋体" w:hAnsi="宋体"/>
      <w:kern w:val="0"/>
      <w:sz w:val="18"/>
    </w:rPr>
  </w:style>
  <w:style w:type="paragraph" w:customStyle="1" w:styleId="430">
    <w:name w:val="样式 宋体 小四 行距: 1.5 倍行距"/>
    <w:basedOn w:val="1"/>
    <w:qFormat/>
    <w:uiPriority w:val="0"/>
    <w:pPr>
      <w:spacing w:line="240" w:lineRule="auto"/>
    </w:pPr>
    <w:rPr>
      <w:rFonts w:ascii="宋体" w:hAnsi="宋体"/>
      <w:kern w:val="10"/>
    </w:rPr>
  </w:style>
  <w:style w:type="paragraph" w:customStyle="1" w:styleId="431">
    <w:name w:val="正表头"/>
    <w:basedOn w:val="1"/>
    <w:qFormat/>
    <w:uiPriority w:val="0"/>
    <w:pPr>
      <w:tabs>
        <w:tab w:val="left" w:pos="480"/>
      </w:tabs>
      <w:autoSpaceDE w:val="0"/>
      <w:autoSpaceDN w:val="0"/>
      <w:adjustRightInd w:val="0"/>
      <w:spacing w:line="240" w:lineRule="auto"/>
      <w:jc w:val="center"/>
    </w:pPr>
    <w:rPr>
      <w:rFonts w:hint="eastAsia" w:ascii="宋体" w:hAnsi="Tms Rmn"/>
      <w:kern w:val="0"/>
      <w:sz w:val="21"/>
    </w:rPr>
  </w:style>
  <w:style w:type="paragraph" w:customStyle="1" w:styleId="432">
    <w:name w:val="样式 Times New Roman 左侧:  2.96 厘米"/>
    <w:basedOn w:val="1"/>
    <w:qFormat/>
    <w:uiPriority w:val="0"/>
    <w:pPr>
      <w:spacing w:line="560" w:lineRule="exact"/>
      <w:ind w:left="1680" w:firstLine="420"/>
    </w:pPr>
    <w:rPr>
      <w:rFonts w:eastAsia="Times New Roman"/>
      <w:sz w:val="28"/>
    </w:rPr>
  </w:style>
  <w:style w:type="paragraph" w:customStyle="1" w:styleId="433">
    <w:name w:val="paratit"/>
    <w:basedOn w:val="1"/>
    <w:qFormat/>
    <w:uiPriority w:val="0"/>
    <w:pPr>
      <w:widowControl/>
      <w:suppressAutoHyphens/>
      <w:spacing w:line="240" w:lineRule="auto"/>
    </w:pPr>
    <w:rPr>
      <w:rFonts w:ascii="Arial" w:hAnsi="Arial" w:eastAsia="Times New Roman"/>
      <w:b/>
      <w:color w:val="006699"/>
      <w:kern w:val="0"/>
      <w:sz w:val="18"/>
      <w:lang w:eastAsia="en-US"/>
    </w:rPr>
  </w:style>
  <w:style w:type="paragraph" w:customStyle="1" w:styleId="434">
    <w:name w:val="xl70"/>
    <w:basedOn w:val="1"/>
    <w:qFormat/>
    <w:uiPriority w:val="0"/>
    <w:pPr>
      <w:widowControl/>
      <w:pBdr>
        <w:top w:val="single" w:color="auto" w:sz="4" w:space="0"/>
        <w:bottom w:val="single" w:color="auto" w:sz="8" w:space="0"/>
        <w:right w:val="single" w:color="auto" w:sz="8" w:space="0"/>
      </w:pBdr>
      <w:spacing w:before="100" w:beforeAutospacing="1" w:after="100" w:afterAutospacing="1" w:line="240" w:lineRule="auto"/>
      <w:jc w:val="center"/>
      <w:textAlignment w:val="bottom"/>
    </w:pPr>
    <w:rPr>
      <w:rFonts w:ascii="宋体" w:hAnsi="宋体"/>
      <w:kern w:val="0"/>
      <w:sz w:val="20"/>
    </w:rPr>
  </w:style>
  <w:style w:type="paragraph" w:customStyle="1" w:styleId="435">
    <w:name w:val="正文缩进2"/>
    <w:basedOn w:val="1"/>
    <w:qFormat/>
    <w:uiPriority w:val="0"/>
    <w:pPr>
      <w:spacing w:before="120" w:after="120" w:line="360" w:lineRule="atLeast"/>
      <w:ind w:left="2325"/>
    </w:pPr>
    <w:rPr>
      <w:sz w:val="21"/>
    </w:rPr>
  </w:style>
  <w:style w:type="paragraph" w:customStyle="1" w:styleId="436">
    <w:name w:val="zDocNo11p3bC"/>
    <w:qFormat/>
    <w:uiPriority w:val="0"/>
    <w:pPr>
      <w:widowControl w:val="0"/>
      <w:spacing w:before="60" w:line="360" w:lineRule="auto"/>
      <w:ind w:left="57" w:right="57" w:hanging="482"/>
      <w:jc w:val="center"/>
    </w:pPr>
    <w:rPr>
      <w:rFonts w:ascii="Arial" w:hAnsi="Arial" w:eastAsia="宋体" w:cs="Times New Roman"/>
      <w:sz w:val="22"/>
      <w:lang w:val="en-US" w:eastAsia="en-US" w:bidi="ar-SA"/>
    </w:rPr>
  </w:style>
  <w:style w:type="paragraph" w:customStyle="1" w:styleId="437">
    <w:name w:val="Char Char Char1"/>
    <w:basedOn w:val="1"/>
    <w:qFormat/>
    <w:uiPriority w:val="0"/>
    <w:pPr>
      <w:spacing w:line="240" w:lineRule="auto"/>
    </w:pPr>
    <w:rPr>
      <w:rFonts w:ascii="Tahoma" w:hAnsi="Tahoma"/>
    </w:rPr>
  </w:style>
  <w:style w:type="paragraph" w:customStyle="1" w:styleId="438">
    <w:name w:val="Char Char Char"/>
    <w:basedOn w:val="26"/>
    <w:qFormat/>
    <w:uiPriority w:val="0"/>
    <w:pPr>
      <w:adjustRightInd w:val="0"/>
      <w:spacing w:line="436" w:lineRule="exact"/>
      <w:ind w:left="357"/>
      <w:outlineLvl w:val="3"/>
    </w:pPr>
    <w:rPr>
      <w:rFonts w:ascii="Tahoma" w:hAnsi="Tahoma"/>
      <w:b/>
    </w:rPr>
  </w:style>
  <w:style w:type="paragraph" w:customStyle="1" w:styleId="439">
    <w:name w:val="封面1"/>
    <w:basedOn w:val="1"/>
    <w:qFormat/>
    <w:uiPriority w:val="0"/>
    <w:pPr>
      <w:wordWrap w:val="0"/>
      <w:adjustRightInd w:val="0"/>
      <w:snapToGrid w:val="0"/>
      <w:ind w:right="1928"/>
    </w:pPr>
    <w:rPr>
      <w:rFonts w:ascii="黑体" w:eastAsia="黑体"/>
      <w:b/>
      <w:sz w:val="44"/>
    </w:rPr>
  </w:style>
  <w:style w:type="paragraph" w:customStyle="1" w:styleId="440">
    <w:name w:val="xl96"/>
    <w:basedOn w:val="1"/>
    <w:qFormat/>
    <w:uiPriority w:val="0"/>
    <w:pPr>
      <w:widowControl/>
      <w:pBdr>
        <w:bottom w:val="single" w:color="auto" w:sz="8" w:space="0"/>
      </w:pBdr>
      <w:spacing w:before="100" w:beforeAutospacing="1" w:after="100" w:afterAutospacing="1" w:line="240" w:lineRule="auto"/>
    </w:pPr>
    <w:rPr>
      <w:rFonts w:ascii="宋体" w:hAnsi="宋体"/>
      <w:kern w:val="0"/>
      <w:sz w:val="18"/>
    </w:rPr>
  </w:style>
  <w:style w:type="paragraph" w:customStyle="1" w:styleId="441">
    <w:name w:val="TM"/>
    <w:qFormat/>
    <w:uiPriority w:val="0"/>
    <w:pPr>
      <w:tabs>
        <w:tab w:val="left" w:pos="576"/>
        <w:tab w:val="left" w:pos="720"/>
        <w:tab w:val="left" w:pos="864"/>
        <w:tab w:val="left" w:pos="1008"/>
        <w:tab w:val="left" w:pos="1152"/>
        <w:tab w:val="left" w:pos="1296"/>
        <w:tab w:val="right" w:leader="dot" w:pos="9648"/>
      </w:tabs>
      <w:spacing w:line="360" w:lineRule="auto"/>
      <w:ind w:left="709" w:hanging="482"/>
    </w:pPr>
    <w:rPr>
      <w:rFonts w:ascii="Univers (W1)" w:hAnsi="Univers (W1)" w:eastAsia="宋体" w:cs="Times New Roman"/>
      <w:sz w:val="22"/>
      <w:lang w:val="fr-FR" w:eastAsia="en-US" w:bidi="ar-SA"/>
    </w:rPr>
  </w:style>
  <w:style w:type="paragraph" w:customStyle="1" w:styleId="442">
    <w:name w:val="样式25"/>
    <w:basedOn w:val="1"/>
    <w:next w:val="305"/>
    <w:qFormat/>
    <w:uiPriority w:val="0"/>
  </w:style>
  <w:style w:type="paragraph" w:customStyle="1" w:styleId="443">
    <w:name w:val="Aufz鋒lungsEbene2"/>
    <w:basedOn w:val="1"/>
    <w:qFormat/>
    <w:uiPriority w:val="0"/>
    <w:pPr>
      <w:widowControl/>
      <w:spacing w:line="288" w:lineRule="auto"/>
      <w:ind w:left="1701" w:hanging="284"/>
    </w:pPr>
    <w:rPr>
      <w:rFonts w:ascii="Arial" w:hAnsi="Arial"/>
      <w:kern w:val="0"/>
      <w:sz w:val="22"/>
      <w:lang w:val="en-GB"/>
    </w:rPr>
  </w:style>
  <w:style w:type="paragraph" w:customStyle="1" w:styleId="444">
    <w:name w:val="xl77"/>
    <w:basedOn w:val="1"/>
    <w:qFormat/>
    <w:uiPriority w:val="0"/>
    <w:pPr>
      <w:widowControl/>
      <w:pBdr>
        <w:left w:val="single" w:color="auto" w:sz="8" w:space="0"/>
      </w:pBdr>
      <w:spacing w:before="100" w:beforeAutospacing="1" w:after="100" w:afterAutospacing="1" w:line="240" w:lineRule="auto"/>
      <w:jc w:val="center"/>
    </w:pPr>
    <w:rPr>
      <w:rFonts w:ascii="宋体" w:hAnsi="宋体"/>
      <w:kern w:val="0"/>
      <w:sz w:val="20"/>
    </w:rPr>
  </w:style>
  <w:style w:type="paragraph" w:customStyle="1" w:styleId="445">
    <w:name w:val="目录1"/>
    <w:basedOn w:val="406"/>
    <w:qFormat/>
    <w:uiPriority w:val="0"/>
    <w:pPr>
      <w:keepNext/>
      <w:keepLines/>
      <w:widowControl/>
      <w:suppressLineNumbers/>
      <w:suppressAutoHyphens/>
    </w:pPr>
    <w:rPr>
      <w:rFonts w:eastAsia="仿宋_GB2312"/>
      <w:b w:val="0"/>
      <w:kern w:val="28"/>
      <w:sz w:val="28"/>
    </w:rPr>
  </w:style>
  <w:style w:type="paragraph" w:customStyle="1" w:styleId="446">
    <w:name w:val="项目符号1"/>
    <w:basedOn w:val="1"/>
    <w:qFormat/>
    <w:uiPriority w:val="0"/>
    <w:pPr>
      <w:tabs>
        <w:tab w:val="left" w:pos="1260"/>
      </w:tabs>
      <w:overflowPunct w:val="0"/>
      <w:adjustRightInd w:val="0"/>
      <w:snapToGrid w:val="0"/>
      <w:spacing w:before="120"/>
      <w:ind w:left="1260" w:hanging="420"/>
    </w:pPr>
    <w:rPr>
      <w:rFonts w:ascii="宋体"/>
      <w:snapToGrid w:val="0"/>
      <w:kern w:val="0"/>
      <w:sz w:val="21"/>
    </w:rPr>
  </w:style>
  <w:style w:type="paragraph" w:customStyle="1" w:styleId="447">
    <w:name w:val="Subhead 3"/>
    <w:basedOn w:val="1"/>
    <w:qFormat/>
    <w:uiPriority w:val="0"/>
    <w:pPr>
      <w:keepNext/>
      <w:widowControl/>
      <w:tabs>
        <w:tab w:val="left" w:pos="1134"/>
      </w:tabs>
      <w:autoSpaceDE w:val="0"/>
      <w:autoSpaceDN w:val="0"/>
      <w:adjustRightInd w:val="0"/>
      <w:spacing w:before="340" w:line="300" w:lineRule="atLeast"/>
      <w:ind w:left="1134" w:hanging="1134"/>
    </w:pPr>
    <w:rPr>
      <w:rFonts w:ascii="Arial" w:hAnsi="Arial" w:eastAsia="黑体"/>
      <w:b/>
      <w:kern w:val="0"/>
    </w:rPr>
  </w:style>
  <w:style w:type="paragraph" w:customStyle="1" w:styleId="448">
    <w:name w:val="Para"/>
    <w:qFormat/>
    <w:uiPriority w:val="0"/>
    <w:pPr>
      <w:suppressAutoHyphens/>
      <w:spacing w:after="160" w:line="360" w:lineRule="auto"/>
      <w:ind w:left="709" w:hanging="482"/>
    </w:pPr>
    <w:rPr>
      <w:rFonts w:ascii="Arial" w:hAnsi="Arial" w:eastAsia="Times New Roman" w:cs="Times New Roman"/>
      <w:sz w:val="18"/>
      <w:lang w:val="en-US" w:eastAsia="en-US" w:bidi="ar-SA"/>
    </w:rPr>
  </w:style>
  <w:style w:type="paragraph" w:customStyle="1" w:styleId="44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Verdana" w:hAnsi="Verdana"/>
      <w:b/>
      <w:kern w:val="0"/>
    </w:rPr>
  </w:style>
  <w:style w:type="paragraph" w:customStyle="1" w:styleId="450">
    <w:name w:val="Normal 11"/>
    <w:basedOn w:val="1"/>
    <w:qFormat/>
    <w:uiPriority w:val="0"/>
    <w:pPr>
      <w:widowControl/>
      <w:ind w:left="544" w:right="397"/>
    </w:pPr>
    <w:rPr>
      <w:rFonts w:ascii="Arial" w:hAnsi="Arial"/>
      <w:kern w:val="0"/>
      <w:sz w:val="22"/>
      <w:lang w:val="nl-NL"/>
    </w:rPr>
  </w:style>
  <w:style w:type="paragraph" w:customStyle="1" w:styleId="451">
    <w:name w:val="样式11"/>
    <w:basedOn w:val="374"/>
    <w:qFormat/>
    <w:uiPriority w:val="0"/>
    <w:pPr>
      <w:keepNext/>
      <w:tabs>
        <w:tab w:val="left" w:pos="1134"/>
        <w:tab w:val="clear" w:pos="560"/>
        <w:tab w:val="clear" w:pos="1120"/>
      </w:tabs>
      <w:spacing w:line="360" w:lineRule="auto"/>
      <w:ind w:left="1134" w:hanging="567" w:firstLineChars="200"/>
      <w:outlineLvl w:val="2"/>
    </w:pPr>
    <w:rPr>
      <w:rFonts w:hAnsi="宋体" w:eastAsia="仿宋_GB2312"/>
      <w:kern w:val="28"/>
      <w:sz w:val="28"/>
    </w:rPr>
  </w:style>
  <w:style w:type="paragraph" w:customStyle="1" w:styleId="452">
    <w:name w:val="投标标题1"/>
    <w:qFormat/>
    <w:uiPriority w:val="0"/>
    <w:pPr>
      <w:adjustRightInd w:val="0"/>
      <w:snapToGrid w:val="0"/>
      <w:spacing w:line="440" w:lineRule="exact"/>
      <w:ind w:left="709" w:hanging="482"/>
      <w:jc w:val="both"/>
    </w:pPr>
    <w:rPr>
      <w:rFonts w:ascii="黑体" w:hAnsi="Times New Roman" w:eastAsia="黑体" w:cs="Times New Roman"/>
      <w:b/>
      <w:sz w:val="28"/>
      <w:lang w:val="en-US" w:eastAsia="zh-CN" w:bidi="ar-SA"/>
    </w:rPr>
  </w:style>
  <w:style w:type="paragraph" w:customStyle="1" w:styleId="453">
    <w:name w:val="Body"/>
    <w:qFormat/>
    <w:uiPriority w:val="0"/>
    <w:pPr>
      <w:spacing w:after="120" w:line="360" w:lineRule="auto"/>
      <w:ind w:left="1418" w:hanging="482"/>
    </w:pPr>
    <w:rPr>
      <w:rFonts w:ascii="Arial" w:hAnsi="Arial" w:eastAsia="宋体" w:cs="Times New Roman"/>
      <w:sz w:val="22"/>
      <w:lang w:val="en-US" w:eastAsia="en-US" w:bidi="ar-SA"/>
    </w:rPr>
  </w:style>
  <w:style w:type="paragraph" w:customStyle="1" w:styleId="454">
    <w:name w:val="ind"/>
    <w:basedOn w:val="1"/>
    <w:qFormat/>
    <w:uiPriority w:val="0"/>
    <w:pPr>
      <w:widowControl/>
      <w:tabs>
        <w:tab w:val="left" w:pos="2977"/>
      </w:tabs>
      <w:spacing w:before="40"/>
      <w:ind w:left="2977" w:right="397" w:hanging="851"/>
    </w:pPr>
    <w:rPr>
      <w:rFonts w:ascii="Arial" w:hAnsi="Arial"/>
      <w:kern w:val="0"/>
      <w:sz w:val="22"/>
      <w:lang w:val="nl-NL"/>
    </w:rPr>
  </w:style>
  <w:style w:type="paragraph" w:customStyle="1" w:styleId="455">
    <w:name w:val="z-Bottom of Form"/>
    <w:next w:val="1"/>
    <w:qFormat/>
    <w:uiPriority w:val="0"/>
    <w:pPr>
      <w:widowControl w:val="0"/>
      <w:pBdr>
        <w:top w:val="double" w:color="000000" w:sz="2" w:space="0"/>
      </w:pBdr>
      <w:autoSpaceDE w:val="0"/>
      <w:autoSpaceDN w:val="0"/>
      <w:adjustRightInd w:val="0"/>
      <w:spacing w:line="360" w:lineRule="auto"/>
      <w:ind w:left="709" w:hanging="482"/>
      <w:jc w:val="center"/>
    </w:pPr>
    <w:rPr>
      <w:rFonts w:ascii="Arial" w:hAnsi="Arial" w:eastAsia="宋体" w:cs="Times New Roman"/>
      <w:vanish/>
      <w:sz w:val="16"/>
      <w:lang w:val="en-US" w:eastAsia="zh-CN" w:bidi="ar-SA"/>
    </w:rPr>
  </w:style>
  <w:style w:type="paragraph" w:customStyle="1" w:styleId="456">
    <w:name w:val="样式1-1"/>
    <w:basedOn w:val="1"/>
    <w:qFormat/>
    <w:uiPriority w:val="0"/>
    <w:pPr>
      <w:keepNext/>
      <w:keepLines/>
      <w:widowControl/>
      <w:suppressLineNumbers/>
      <w:tabs>
        <w:tab w:val="left" w:pos="1134"/>
      </w:tabs>
      <w:suppressAutoHyphens/>
      <w:ind w:left="1134" w:hanging="567"/>
    </w:pPr>
    <w:rPr>
      <w:rFonts w:eastAsia="仿宋_GB2312"/>
      <w:b/>
      <w:kern w:val="28"/>
      <w:sz w:val="28"/>
    </w:rPr>
  </w:style>
  <w:style w:type="paragraph" w:customStyle="1" w:styleId="457">
    <w:name w:val="样式4"/>
    <w:basedOn w:val="1"/>
    <w:link w:val="1253"/>
    <w:qFormat/>
    <w:uiPriority w:val="0"/>
    <w:pPr>
      <w:keepNext/>
      <w:tabs>
        <w:tab w:val="left" w:pos="1134"/>
      </w:tabs>
      <w:ind w:left="1134" w:hanging="567"/>
    </w:pPr>
    <w:rPr>
      <w:rFonts w:eastAsia="仿宋_GB2312"/>
      <w:b/>
      <w:kern w:val="28"/>
      <w:sz w:val="28"/>
      <w:lang w:val="zh-CN"/>
    </w:rPr>
  </w:style>
  <w:style w:type="paragraph" w:customStyle="1" w:styleId="458">
    <w:name w:val="Char21"/>
    <w:basedOn w:val="1"/>
    <w:qFormat/>
    <w:uiPriority w:val="0"/>
    <w:pPr>
      <w:ind w:firstLine="200" w:firstLineChars="200"/>
    </w:pPr>
    <w:rPr>
      <w:rFonts w:ascii="Tahoma" w:hAnsi="Tahoma"/>
    </w:rPr>
  </w:style>
  <w:style w:type="paragraph" w:customStyle="1" w:styleId="459">
    <w:name w:val="Off_Std"/>
    <w:qFormat/>
    <w:uiPriority w:val="0"/>
    <w:pPr>
      <w:spacing w:before="56" w:after="112" w:line="244" w:lineRule="exact"/>
      <w:ind w:left="567" w:hanging="482"/>
      <w:jc w:val="both"/>
    </w:pPr>
    <w:rPr>
      <w:rFonts w:ascii="FuturaA Bk BT" w:hAnsi="FuturaA Bk BT" w:eastAsia="宋体" w:cs="Times New Roman"/>
      <w:sz w:val="22"/>
      <w:lang w:val="en-US" w:eastAsia="en-US" w:bidi="ar-SA"/>
    </w:rPr>
  </w:style>
  <w:style w:type="paragraph" w:customStyle="1" w:styleId="460">
    <w:name w:val="font11"/>
    <w:basedOn w:val="1"/>
    <w:qFormat/>
    <w:uiPriority w:val="0"/>
    <w:pPr>
      <w:widowControl/>
      <w:spacing w:before="100" w:after="100" w:line="240" w:lineRule="auto"/>
    </w:pPr>
    <w:rPr>
      <w:rFonts w:hint="eastAsia" w:ascii="宋体" w:hAnsi="宋体"/>
      <w:kern w:val="0"/>
      <w:sz w:val="12"/>
    </w:rPr>
  </w:style>
  <w:style w:type="paragraph" w:customStyle="1" w:styleId="461">
    <w:name w:val="Char1"/>
    <w:basedOn w:val="1"/>
    <w:qFormat/>
    <w:uiPriority w:val="0"/>
    <w:pPr>
      <w:spacing w:line="240" w:lineRule="auto"/>
    </w:pPr>
    <w:rPr>
      <w:rFonts w:ascii="Tahoma" w:hAnsi="Tahoma"/>
    </w:rPr>
  </w:style>
  <w:style w:type="paragraph" w:customStyle="1" w:styleId="462">
    <w:name w:val="标题6"/>
    <w:basedOn w:val="8"/>
    <w:qFormat/>
    <w:uiPriority w:val="0"/>
    <w:pPr>
      <w:numPr>
        <w:ilvl w:val="0"/>
        <w:numId w:val="0"/>
      </w:numPr>
      <w:tabs>
        <w:tab w:val="right" w:leader="dot" w:pos="9061"/>
      </w:tabs>
      <w:spacing w:before="240" w:after="64" w:line="317" w:lineRule="auto"/>
      <w:jc w:val="center"/>
    </w:pPr>
    <w:rPr>
      <w:rFonts w:ascii="宋体" w:eastAsia="宋体"/>
      <w:b/>
      <w:sz w:val="21"/>
      <w:lang w:val="en-US"/>
    </w:rPr>
  </w:style>
  <w:style w:type="paragraph" w:customStyle="1" w:styleId="463">
    <w:name w:val="xl59"/>
    <w:basedOn w:val="1"/>
    <w:qFormat/>
    <w:uiPriority w:val="0"/>
    <w:pPr>
      <w:widowControl/>
      <w:pBdr>
        <w:left w:val="single" w:color="auto" w:sz="4" w:space="0"/>
      </w:pBdr>
      <w:spacing w:before="100" w:beforeAutospacing="1" w:after="100" w:afterAutospacing="1" w:line="240" w:lineRule="auto"/>
    </w:pPr>
    <w:rPr>
      <w:rFonts w:ascii="Arial" w:hAnsi="Arial"/>
      <w:kern w:val="0"/>
      <w:sz w:val="18"/>
    </w:rPr>
  </w:style>
  <w:style w:type="paragraph" w:customStyle="1" w:styleId="464">
    <w:name w:val="zLogo"/>
    <w:qFormat/>
    <w:uiPriority w:val="0"/>
    <w:pPr>
      <w:widowControl w:val="0"/>
      <w:spacing w:before="140" w:line="360" w:lineRule="auto"/>
      <w:ind w:left="142" w:hanging="482"/>
    </w:pPr>
    <w:rPr>
      <w:rFonts w:ascii="Arial" w:hAnsi="Arial" w:eastAsia="宋体" w:cs="Times New Roman"/>
      <w:b/>
      <w:sz w:val="28"/>
      <w:lang w:val="en-US" w:eastAsia="en-US" w:bidi="ar-SA"/>
    </w:rPr>
  </w:style>
  <w:style w:type="paragraph" w:customStyle="1" w:styleId="465">
    <w:name w:val="样式3-21"/>
    <w:basedOn w:val="180"/>
    <w:qFormat/>
    <w:uiPriority w:val="0"/>
    <w:pPr>
      <w:tabs>
        <w:tab w:val="left" w:pos="-546"/>
        <w:tab w:val="clear" w:pos="1134"/>
      </w:tabs>
      <w:ind w:left="-546"/>
    </w:pPr>
  </w:style>
  <w:style w:type="paragraph" w:customStyle="1" w:styleId="466">
    <w:name w:val="正文编号1）"/>
    <w:basedOn w:val="1"/>
    <w:qFormat/>
    <w:uiPriority w:val="0"/>
    <w:pPr>
      <w:tabs>
        <w:tab w:val="left" w:leader="dot" w:pos="1701"/>
        <w:tab w:val="left" w:pos="9072"/>
      </w:tabs>
      <w:snapToGrid w:val="0"/>
      <w:spacing w:before="120" w:after="120" w:line="360" w:lineRule="atLeast"/>
      <w:ind w:left="2341" w:hanging="442"/>
    </w:pPr>
    <w:rPr>
      <w:kern w:val="21"/>
      <w:sz w:val="21"/>
    </w:rPr>
  </w:style>
  <w:style w:type="paragraph" w:customStyle="1" w:styleId="467">
    <w:name w:val="表头"/>
    <w:basedOn w:val="1"/>
    <w:link w:val="990"/>
    <w:qFormat/>
    <w:uiPriority w:val="0"/>
    <w:pPr>
      <w:keepNext/>
      <w:keepLines/>
      <w:widowControl/>
      <w:suppressLineNumbers/>
      <w:tabs>
        <w:tab w:val="left" w:pos="480"/>
      </w:tabs>
      <w:suppressAutoHyphens/>
      <w:autoSpaceDE w:val="0"/>
      <w:autoSpaceDN w:val="0"/>
      <w:adjustRightInd w:val="0"/>
      <w:spacing w:line="240" w:lineRule="auto"/>
      <w:jc w:val="center"/>
      <w:textAlignment w:val="bottom"/>
    </w:pPr>
    <w:rPr>
      <w:rFonts w:ascii="宋体"/>
      <w:kern w:val="0"/>
      <w:sz w:val="21"/>
      <w14:shadow w14:blurRad="50800" w14:dist="38100" w14:dir="2700000" w14:sx="100000" w14:sy="100000" w14:kx="0" w14:ky="0" w14:algn="tl">
        <w14:srgbClr w14:val="000000">
          <w14:alpha w14:val="60000"/>
        </w14:srgbClr>
      </w14:shadow>
    </w:rPr>
  </w:style>
  <w:style w:type="paragraph" w:customStyle="1" w:styleId="468">
    <w:name w:val="普通 (Web)"/>
    <w:basedOn w:val="1"/>
    <w:qFormat/>
    <w:uiPriority w:val="0"/>
    <w:pPr>
      <w:widowControl/>
      <w:spacing w:before="100" w:beforeAutospacing="1" w:after="100" w:afterAutospacing="1" w:line="240" w:lineRule="auto"/>
    </w:pPr>
    <w:rPr>
      <w:kern w:val="0"/>
      <w:lang w:val="en-GB" w:eastAsia="en-US"/>
    </w:rPr>
  </w:style>
  <w:style w:type="paragraph" w:customStyle="1" w:styleId="469">
    <w:name w:val="标题11"/>
    <w:basedOn w:val="3"/>
    <w:qFormat/>
    <w:uiPriority w:val="0"/>
    <w:pPr>
      <w:keepLines w:val="0"/>
      <w:numPr>
        <w:numId w:val="0"/>
      </w:numPr>
      <w:tabs>
        <w:tab w:val="left" w:pos="360"/>
      </w:tabs>
      <w:autoSpaceDE/>
      <w:spacing w:before="0" w:after="0"/>
      <w:ind w:left="567" w:hanging="567"/>
    </w:pPr>
    <w:rPr>
      <w:rFonts w:ascii="仿宋_GB2312" w:hAnsi="宋体" w:eastAsia="仿宋_GB2312"/>
      <w:kern w:val="28"/>
      <w:sz w:val="32"/>
    </w:rPr>
  </w:style>
  <w:style w:type="paragraph" w:customStyle="1" w:styleId="470">
    <w:name w:val="xl71"/>
    <w:basedOn w:val="1"/>
    <w:qFormat/>
    <w:uiPriority w:val="0"/>
    <w:pPr>
      <w:widowControl/>
      <w:pBdr>
        <w:top w:val="single" w:color="auto" w:sz="4" w:space="0"/>
        <w:bottom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471">
    <w:name w:val="标题（节）"/>
    <w:basedOn w:val="3"/>
    <w:qFormat/>
    <w:uiPriority w:val="0"/>
    <w:pPr>
      <w:keepLines w:val="0"/>
      <w:pageBreakBefore/>
      <w:numPr>
        <w:numId w:val="0"/>
      </w:numPr>
      <w:tabs>
        <w:tab w:val="left" w:pos="1995"/>
      </w:tabs>
      <w:autoSpaceDE/>
      <w:spacing w:before="0" w:after="0"/>
      <w:ind w:left="1996" w:hanging="1996"/>
    </w:pPr>
    <w:rPr>
      <w:rFonts w:ascii="FuturaA Bk BT" w:hAnsi="FuturaA Bk BT" w:eastAsia="宋体"/>
      <w:kern w:val="2"/>
      <w:sz w:val="36"/>
    </w:rPr>
  </w:style>
  <w:style w:type="paragraph" w:customStyle="1" w:styleId="472">
    <w:name w:val="xl95"/>
    <w:basedOn w:val="1"/>
    <w:qFormat/>
    <w:uiPriority w:val="0"/>
    <w:pPr>
      <w:widowControl/>
      <w:pBdr>
        <w:top w:val="single" w:color="auto" w:sz="4" w:space="0"/>
        <w:left w:val="single" w:color="auto" w:sz="8" w:space="0"/>
        <w:bottom w:val="single" w:color="auto" w:sz="8" w:space="0"/>
        <w:right w:val="single" w:color="auto" w:sz="8" w:space="0"/>
      </w:pBdr>
      <w:spacing w:before="100" w:beforeAutospacing="1" w:after="100" w:afterAutospacing="1" w:line="240" w:lineRule="auto"/>
    </w:pPr>
    <w:rPr>
      <w:rFonts w:ascii="宋体" w:hAnsi="宋体"/>
      <w:kern w:val="0"/>
      <w:sz w:val="18"/>
    </w:rPr>
  </w:style>
  <w:style w:type="paragraph" w:customStyle="1" w:styleId="473">
    <w:name w:val="xl26"/>
    <w:basedOn w:val="1"/>
    <w:qFormat/>
    <w:uiPriority w:val="0"/>
    <w:pPr>
      <w:widowControl/>
      <w:pBdr>
        <w:top w:val="single" w:color="auto" w:sz="8" w:space="0"/>
        <w:left w:val="single" w:color="auto" w:sz="8" w:space="0"/>
        <w:bottom w:val="single" w:color="auto" w:sz="4" w:space="0"/>
        <w:right w:val="single" w:color="auto" w:sz="12" w:space="0"/>
      </w:pBdr>
      <w:spacing w:before="100" w:beforeAutospacing="1" w:after="100" w:afterAutospacing="1" w:line="240" w:lineRule="auto"/>
      <w:jc w:val="center"/>
      <w:textAlignment w:val="center"/>
    </w:pPr>
    <w:rPr>
      <w:rFonts w:ascii="Arial Unicode MS" w:hAnsi="Arial Unicode MS"/>
      <w:b/>
      <w:kern w:val="0"/>
      <w:sz w:val="22"/>
      <w:lang w:eastAsia="en-US"/>
    </w:rPr>
  </w:style>
  <w:style w:type="paragraph" w:customStyle="1" w:styleId="474">
    <w:name w:val="正文编号●"/>
    <w:basedOn w:val="1"/>
    <w:qFormat/>
    <w:uiPriority w:val="0"/>
    <w:pPr>
      <w:tabs>
        <w:tab w:val="left" w:leader="dot" w:pos="1701"/>
        <w:tab w:val="left" w:pos="2951"/>
        <w:tab w:val="left" w:pos="9072"/>
      </w:tabs>
      <w:snapToGrid w:val="0"/>
      <w:spacing w:after="60" w:line="360" w:lineRule="atLeast"/>
      <w:ind w:left="2951" w:hanging="360"/>
    </w:pPr>
    <w:rPr>
      <w:rFonts w:ascii="Arial" w:hAnsi="Arial" w:eastAsia="仿宋_GB2312"/>
      <w:kern w:val="21"/>
      <w:sz w:val="20"/>
    </w:rPr>
  </w:style>
  <w:style w:type="paragraph" w:customStyle="1" w:styleId="475">
    <w:name w:val="S04-Transport"/>
    <w:basedOn w:val="1"/>
    <w:next w:val="1"/>
    <w:qFormat/>
    <w:uiPriority w:val="0"/>
    <w:pPr>
      <w:widowControl/>
      <w:spacing w:line="240" w:lineRule="auto"/>
    </w:pPr>
    <w:rPr>
      <w:rFonts w:ascii="Arial" w:hAnsi="Arial"/>
      <w:kern w:val="0"/>
      <w:sz w:val="22"/>
      <w:lang w:eastAsia="en-US"/>
    </w:rPr>
  </w:style>
  <w:style w:type="paragraph" w:customStyle="1" w:styleId="476">
    <w:name w:val="txt:p:0"/>
    <w:qFormat/>
    <w:uiPriority w:val="0"/>
    <w:pPr>
      <w:keepLines/>
      <w:widowControl w:val="0"/>
      <w:tabs>
        <w:tab w:val="left" w:pos="0"/>
        <w:tab w:val="left" w:pos="454"/>
        <w:tab w:val="left" w:pos="907"/>
        <w:tab w:val="left" w:pos="1361"/>
        <w:tab w:val="left" w:pos="1814"/>
        <w:tab w:val="left" w:pos="2268"/>
        <w:tab w:val="left" w:pos="2721"/>
        <w:tab w:val="left" w:pos="3175"/>
        <w:tab w:val="left" w:pos="3628"/>
        <w:tab w:val="left" w:pos="4082"/>
        <w:tab w:val="left" w:pos="4535"/>
        <w:tab w:val="left" w:pos="4989"/>
        <w:tab w:val="left" w:pos="5443"/>
        <w:tab w:val="left" w:pos="5896"/>
        <w:tab w:val="left" w:pos="6350"/>
        <w:tab w:val="left" w:pos="6803"/>
        <w:tab w:val="left" w:pos="7257"/>
        <w:tab w:val="left" w:pos="7710"/>
        <w:tab w:val="left" w:pos="8164"/>
        <w:tab w:val="left" w:pos="8617"/>
        <w:tab w:val="left" w:pos="9071"/>
        <w:tab w:val="left" w:pos="9524"/>
      </w:tabs>
      <w:spacing w:before="20" w:line="360" w:lineRule="auto"/>
      <w:ind w:left="709" w:hanging="482"/>
      <w:jc w:val="both"/>
    </w:pPr>
    <w:rPr>
      <w:rFonts w:ascii="Helvetica" w:hAnsi="Helvetica" w:eastAsia="宋体" w:cs="Times New Roman"/>
      <w:lang w:val="it-IT" w:eastAsia="zh-CN" w:bidi="ar-SA"/>
    </w:rPr>
  </w:style>
  <w:style w:type="paragraph" w:customStyle="1" w:styleId="477">
    <w:name w:val="沈阳 款，1."/>
    <w:qFormat/>
    <w:uiPriority w:val="0"/>
    <w:pPr>
      <w:keepNext/>
      <w:tabs>
        <w:tab w:val="left" w:pos="1680"/>
      </w:tabs>
      <w:adjustRightInd w:val="0"/>
      <w:spacing w:line="360" w:lineRule="auto"/>
      <w:ind w:left="1680" w:hanging="420"/>
      <w:jc w:val="both"/>
      <w:outlineLvl w:val="3"/>
    </w:pPr>
    <w:rPr>
      <w:rFonts w:ascii="楷体_GB2312" w:hAnsi="Times New Roman" w:eastAsia="楷体_GB2312" w:cs="Times New Roman"/>
      <w:kern w:val="2"/>
      <w:sz w:val="28"/>
      <w:lang w:val="en-US" w:eastAsia="zh-CN" w:bidi="ar-SA"/>
    </w:rPr>
  </w:style>
  <w:style w:type="paragraph" w:customStyle="1" w:styleId="478">
    <w:name w:val="标"/>
    <w:basedOn w:val="406"/>
    <w:qFormat/>
    <w:uiPriority w:val="0"/>
    <w:pPr>
      <w:keepNext/>
      <w:keepLines/>
      <w:widowControl/>
      <w:suppressLineNumbers/>
      <w:suppressAutoHyphens/>
      <w:jc w:val="center"/>
    </w:pPr>
    <w:rPr>
      <w:rFonts w:ascii="宋体" w:hAnsi="宋体"/>
      <w:b w:val="0"/>
      <w:kern w:val="28"/>
      <w:sz w:val="28"/>
    </w:rPr>
  </w:style>
  <w:style w:type="paragraph" w:customStyle="1" w:styleId="479">
    <w:name w:val="目录 51"/>
    <w:basedOn w:val="1"/>
    <w:next w:val="1"/>
    <w:qFormat/>
    <w:uiPriority w:val="39"/>
    <w:pPr>
      <w:ind w:left="960"/>
    </w:pPr>
    <w:rPr>
      <w:sz w:val="18"/>
    </w:rPr>
  </w:style>
  <w:style w:type="paragraph" w:customStyle="1" w:styleId="480">
    <w:name w:val="样式3"/>
    <w:basedOn w:val="1"/>
    <w:qFormat/>
    <w:uiPriority w:val="0"/>
    <w:pPr>
      <w:keepNext/>
      <w:tabs>
        <w:tab w:val="left" w:pos="1134"/>
      </w:tabs>
      <w:ind w:left="1134" w:hanging="567"/>
    </w:pPr>
    <w:rPr>
      <w:rFonts w:eastAsia="仿宋_GB2312"/>
      <w:b/>
      <w:kern w:val="28"/>
      <w:sz w:val="28"/>
    </w:rPr>
  </w:style>
  <w:style w:type="paragraph" w:customStyle="1" w:styleId="481">
    <w:name w:val="zFooterLine6p0bL"/>
    <w:qFormat/>
    <w:uiPriority w:val="0"/>
    <w:pPr>
      <w:spacing w:line="360" w:lineRule="auto"/>
      <w:ind w:left="709" w:hanging="482"/>
    </w:pPr>
    <w:rPr>
      <w:rFonts w:ascii="Arial Narrow" w:hAnsi="Arial Narrow" w:eastAsia="宋体" w:cs="Times New Roman"/>
      <w:sz w:val="12"/>
      <w:lang w:val="en-US" w:eastAsia="en-US" w:bidi="ar-SA"/>
    </w:rPr>
  </w:style>
  <w:style w:type="paragraph" w:customStyle="1" w:styleId="482">
    <w:name w:val="标题21"/>
    <w:basedOn w:val="4"/>
    <w:qFormat/>
    <w:uiPriority w:val="0"/>
    <w:pPr>
      <w:keepLines w:val="0"/>
      <w:numPr>
        <w:ilvl w:val="0"/>
        <w:numId w:val="0"/>
      </w:numPr>
      <w:tabs>
        <w:tab w:val="left" w:pos="851"/>
      </w:tabs>
      <w:ind w:left="851" w:hanging="851"/>
    </w:pPr>
    <w:rPr>
      <w:rFonts w:ascii="仿宋_GB2312" w:hAnsi="宋体" w:eastAsia="仿宋_GB2312"/>
      <w:kern w:val="28"/>
    </w:rPr>
  </w:style>
  <w:style w:type="paragraph" w:customStyle="1" w:styleId="483">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hint="eastAsia" w:ascii="宋体" w:hAnsi="宋体"/>
      <w:b/>
      <w:kern w:val="0"/>
    </w:rPr>
  </w:style>
  <w:style w:type="paragraph" w:customStyle="1" w:styleId="484">
    <w:name w:val="Char11"/>
    <w:basedOn w:val="1"/>
    <w:qFormat/>
    <w:uiPriority w:val="0"/>
    <w:pPr>
      <w:spacing w:line="240" w:lineRule="auto"/>
    </w:pPr>
    <w:rPr>
      <w:rFonts w:ascii="Tahoma" w:hAnsi="Tahoma"/>
    </w:rPr>
  </w:style>
  <w:style w:type="paragraph" w:customStyle="1" w:styleId="485">
    <w:name w:val="SDH.FOX515T"/>
    <w:basedOn w:val="224"/>
    <w:next w:val="1"/>
    <w:qFormat/>
    <w:uiPriority w:val="0"/>
  </w:style>
  <w:style w:type="paragraph" w:customStyle="1" w:styleId="486">
    <w:name w:val="titel pag1"/>
    <w:basedOn w:val="1"/>
    <w:qFormat/>
    <w:uiPriority w:val="0"/>
    <w:pPr>
      <w:widowControl/>
      <w:jc w:val="center"/>
    </w:pPr>
    <w:rPr>
      <w:rFonts w:ascii="Arial" w:hAnsi="Arial"/>
      <w:kern w:val="0"/>
      <w:sz w:val="22"/>
      <w:lang w:val="en-GB"/>
    </w:rPr>
  </w:style>
  <w:style w:type="paragraph" w:customStyle="1" w:styleId="487">
    <w:name w:val="paravet"/>
    <w:basedOn w:val="281"/>
    <w:next w:val="281"/>
    <w:qFormat/>
    <w:uiPriority w:val="0"/>
    <w:pPr>
      <w:keepNext/>
      <w:spacing w:before="240" w:after="60"/>
      <w:ind w:left="1138"/>
      <w:jc w:val="left"/>
    </w:pPr>
    <w:rPr>
      <w:rFonts w:eastAsia="Times New Roman"/>
      <w:b/>
      <w:color w:val="006699"/>
      <w:sz w:val="22"/>
      <w:lang w:val="en-GB" w:eastAsia="en-US"/>
    </w:rPr>
  </w:style>
  <w:style w:type="paragraph" w:customStyle="1" w:styleId="488">
    <w:name w:val="xl72"/>
    <w:basedOn w:val="1"/>
    <w:qFormat/>
    <w:uiPriority w:val="0"/>
    <w:pPr>
      <w:widowControl/>
      <w:pBdr>
        <w:top w:val="single" w:color="auto" w:sz="4" w:space="0"/>
        <w:left w:val="single" w:color="auto" w:sz="8" w:space="0"/>
        <w:bottom w:val="single" w:color="auto" w:sz="8" w:space="0"/>
      </w:pBdr>
      <w:spacing w:before="100" w:beforeAutospacing="1" w:after="100" w:afterAutospacing="1" w:line="240" w:lineRule="auto"/>
      <w:jc w:val="center"/>
    </w:pPr>
    <w:rPr>
      <w:rFonts w:ascii="宋体" w:hAnsi="宋体"/>
      <w:kern w:val="0"/>
      <w:sz w:val="20"/>
    </w:rPr>
  </w:style>
  <w:style w:type="paragraph" w:customStyle="1" w:styleId="489">
    <w:name w:val="样式3-29"/>
    <w:basedOn w:val="182"/>
    <w:qFormat/>
    <w:uiPriority w:val="0"/>
  </w:style>
  <w:style w:type="paragraph" w:customStyle="1" w:styleId="490">
    <w:name w:val="CellBody"/>
    <w:basedOn w:val="1"/>
    <w:qFormat/>
    <w:uiPriority w:val="0"/>
    <w:pPr>
      <w:widowControl/>
      <w:overflowPunct w:val="0"/>
      <w:autoSpaceDE w:val="0"/>
      <w:autoSpaceDN w:val="0"/>
      <w:adjustRightInd w:val="0"/>
      <w:spacing w:before="60" w:after="120" w:line="240" w:lineRule="auto"/>
      <w:ind w:left="1701"/>
      <w:textAlignment w:val="baseline"/>
    </w:pPr>
    <w:rPr>
      <w:rFonts w:eastAsia="Times"/>
      <w:color w:val="000000"/>
      <w:kern w:val="0"/>
      <w:sz w:val="22"/>
    </w:rPr>
  </w:style>
  <w:style w:type="paragraph" w:customStyle="1" w:styleId="491">
    <w:name w:val="样式1-3"/>
    <w:basedOn w:val="1"/>
    <w:qFormat/>
    <w:uiPriority w:val="0"/>
    <w:pPr>
      <w:keepNext/>
      <w:tabs>
        <w:tab w:val="left" w:pos="1134"/>
      </w:tabs>
      <w:ind w:left="1134" w:hanging="567"/>
    </w:pPr>
    <w:rPr>
      <w:rFonts w:eastAsia="仿宋_GB2312"/>
      <w:b/>
      <w:kern w:val="28"/>
      <w:sz w:val="28"/>
    </w:rPr>
  </w:style>
  <w:style w:type="paragraph" w:customStyle="1" w:styleId="492">
    <w:name w:val="样式30"/>
    <w:basedOn w:val="377"/>
    <w:qFormat/>
    <w:uiPriority w:val="0"/>
  </w:style>
  <w:style w:type="paragraph" w:customStyle="1" w:styleId="493">
    <w:name w:val="样式15"/>
    <w:basedOn w:val="217"/>
    <w:qFormat/>
    <w:uiPriority w:val="0"/>
  </w:style>
  <w:style w:type="paragraph" w:customStyle="1" w:styleId="494">
    <w:name w:val="Char3"/>
    <w:basedOn w:val="1"/>
    <w:link w:val="1178"/>
    <w:qFormat/>
    <w:uiPriority w:val="0"/>
    <w:pPr>
      <w:spacing w:line="240" w:lineRule="auto"/>
    </w:pPr>
    <w:rPr>
      <w:rFonts w:ascii="仿宋_GB2312" w:eastAsia="仿宋_GB2312"/>
      <w:b/>
      <w:sz w:val="32"/>
    </w:rPr>
  </w:style>
  <w:style w:type="paragraph" w:customStyle="1" w:styleId="495">
    <w:name w:val="字元 字元 Char Char Char 字元 字元"/>
    <w:basedOn w:val="26"/>
    <w:qFormat/>
    <w:uiPriority w:val="0"/>
    <w:pPr>
      <w:adjustRightInd w:val="0"/>
      <w:spacing w:line="436" w:lineRule="exact"/>
      <w:ind w:left="357"/>
      <w:outlineLvl w:val="3"/>
    </w:pPr>
    <w:rPr>
      <w:rFonts w:ascii="Tahoma" w:hAnsi="Tahoma"/>
      <w:b/>
    </w:rPr>
  </w:style>
  <w:style w:type="paragraph" w:customStyle="1" w:styleId="496">
    <w:name w:val="注"/>
    <w:basedOn w:val="35"/>
    <w:qFormat/>
    <w:uiPriority w:val="0"/>
    <w:pPr>
      <w:keepNext/>
      <w:spacing w:line="522" w:lineRule="exact"/>
      <w:ind w:left="0" w:firstLine="560" w:firstLineChars="200"/>
    </w:pPr>
    <w:rPr>
      <w:color w:val="000000"/>
      <w:kern w:val="21"/>
      <w:sz w:val="28"/>
    </w:rPr>
  </w:style>
  <w:style w:type="paragraph" w:customStyle="1" w:styleId="497">
    <w:name w:val="xl73"/>
    <w:basedOn w:val="1"/>
    <w:qFormat/>
    <w:uiPriority w:val="0"/>
    <w:pPr>
      <w:widowControl/>
      <w:pBdr>
        <w:top w:val="single" w:color="auto" w:sz="4" w:space="0"/>
        <w:left w:val="single" w:color="auto" w:sz="8" w:space="0"/>
        <w:bottom w:val="single" w:color="auto" w:sz="8"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498">
    <w:name w:val="xl78"/>
    <w:basedOn w:val="1"/>
    <w:qFormat/>
    <w:uiPriority w:val="0"/>
    <w:pPr>
      <w:widowControl/>
      <w:pBdr>
        <w:top w:val="single" w:color="auto" w:sz="8" w:space="0"/>
        <w:left w:val="single" w:color="auto" w:sz="8" w:space="0"/>
        <w:right w:val="single" w:color="auto" w:sz="8" w:space="0"/>
      </w:pBdr>
      <w:spacing w:before="100" w:beforeAutospacing="1" w:after="100" w:afterAutospacing="1" w:line="240" w:lineRule="auto"/>
      <w:jc w:val="center"/>
    </w:pPr>
    <w:rPr>
      <w:rFonts w:ascii="宋体" w:hAnsi="宋体"/>
      <w:kern w:val="0"/>
      <w:sz w:val="20"/>
    </w:rPr>
  </w:style>
  <w:style w:type="paragraph" w:customStyle="1" w:styleId="499">
    <w:name w:val="xl94"/>
    <w:basedOn w:val="1"/>
    <w:qFormat/>
    <w:uiPriority w:val="0"/>
    <w:pPr>
      <w:widowControl/>
      <w:pBdr>
        <w:top w:val="single" w:color="auto" w:sz="4" w:space="0"/>
        <w:left w:val="single" w:color="auto" w:sz="8" w:space="0"/>
        <w:bottom w:val="single" w:color="auto" w:sz="8" w:space="0"/>
      </w:pBdr>
      <w:spacing w:before="100" w:beforeAutospacing="1" w:after="100" w:afterAutospacing="1" w:line="240" w:lineRule="auto"/>
      <w:jc w:val="center"/>
    </w:pPr>
    <w:rPr>
      <w:rFonts w:ascii="宋体" w:hAnsi="宋体"/>
      <w:kern w:val="0"/>
      <w:sz w:val="18"/>
    </w:rPr>
  </w:style>
  <w:style w:type="paragraph" w:customStyle="1" w:styleId="500">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Verdana" w:hAnsi="Verdana"/>
      <w:kern w:val="0"/>
    </w:rPr>
  </w:style>
  <w:style w:type="paragraph" w:customStyle="1" w:styleId="501">
    <w:name w:val="图字"/>
    <w:basedOn w:val="1"/>
    <w:qFormat/>
    <w:uiPriority w:val="0"/>
    <w:pPr>
      <w:keepNext/>
      <w:keepLines/>
      <w:widowControl/>
      <w:suppressLineNumbers/>
      <w:suppressAutoHyphens/>
      <w:spacing w:line="240" w:lineRule="atLeast"/>
      <w:jc w:val="center"/>
    </w:pPr>
    <w:rPr>
      <w:rFonts w:ascii="仿宋_GB2312" w:eastAsia="仿宋_GB2312"/>
      <w:kern w:val="21"/>
      <w:sz w:val="21"/>
    </w:rPr>
  </w:style>
  <w:style w:type="paragraph" w:customStyle="1" w:styleId="502">
    <w:name w:val="xl60"/>
    <w:basedOn w:val="1"/>
    <w:qFormat/>
    <w:uiPriority w:val="0"/>
    <w:pPr>
      <w:widowControl/>
      <w:pBdr>
        <w:top w:val="single" w:color="auto" w:sz="4" w:space="0"/>
        <w:left w:val="single" w:color="auto" w:sz="8" w:space="0"/>
        <w:bottom w:val="single" w:color="auto" w:sz="4" w:space="0"/>
        <w:right w:val="single" w:color="auto" w:sz="8" w:space="0"/>
      </w:pBdr>
      <w:spacing w:before="100" w:beforeAutospacing="1" w:after="100" w:afterAutospacing="1" w:line="240" w:lineRule="auto"/>
      <w:jc w:val="center"/>
      <w:textAlignment w:val="bottom"/>
    </w:pPr>
    <w:rPr>
      <w:kern w:val="0"/>
      <w:sz w:val="20"/>
    </w:rPr>
  </w:style>
  <w:style w:type="paragraph" w:customStyle="1" w:styleId="503">
    <w:name w:val="目录 61"/>
    <w:basedOn w:val="1"/>
    <w:next w:val="1"/>
    <w:qFormat/>
    <w:uiPriority w:val="39"/>
    <w:pPr>
      <w:ind w:left="1200"/>
    </w:pPr>
    <w:rPr>
      <w:sz w:val="18"/>
    </w:rPr>
  </w:style>
  <w:style w:type="paragraph" w:customStyle="1" w:styleId="504">
    <w:name w:val="Char Char Char Char1 Char Char Char Char Char Char Char Char"/>
    <w:basedOn w:val="1"/>
    <w:qFormat/>
    <w:uiPriority w:val="0"/>
    <w:pPr>
      <w:spacing w:line="240" w:lineRule="auto"/>
    </w:pPr>
    <w:rPr>
      <w:rFonts w:ascii="Tahoma" w:hAnsi="Tahoma" w:eastAsia="仿宋_GB2312"/>
      <w:b/>
    </w:rPr>
  </w:style>
  <w:style w:type="paragraph" w:customStyle="1" w:styleId="505">
    <w:name w:val="样式20"/>
    <w:basedOn w:val="229"/>
    <w:qFormat/>
    <w:uiPriority w:val="0"/>
    <w:pPr>
      <w:keepLines w:val="0"/>
      <w:widowControl w:val="0"/>
      <w:suppressLineNumbers w:val="0"/>
      <w:suppressAutoHyphens w:val="0"/>
      <w:jc w:val="left"/>
    </w:pPr>
    <w:rPr>
      <w:rFonts w:ascii="Times New Roman"/>
      <w:b/>
    </w:rPr>
  </w:style>
  <w:style w:type="paragraph" w:customStyle="1" w:styleId="506">
    <w:name w:val="第一部分"/>
    <w:basedOn w:val="3"/>
    <w:qFormat/>
    <w:uiPriority w:val="0"/>
    <w:pPr>
      <w:numPr>
        <w:numId w:val="0"/>
      </w:numPr>
      <w:spacing w:before="0" w:after="0"/>
      <w:jc w:val="center"/>
    </w:pPr>
    <w:rPr>
      <w:spacing w:val="1"/>
      <w:sz w:val="36"/>
    </w:rPr>
  </w:style>
  <w:style w:type="paragraph" w:customStyle="1" w:styleId="507">
    <w:name w:val="样式3-8"/>
    <w:basedOn w:val="1"/>
    <w:qFormat/>
    <w:uiPriority w:val="0"/>
    <w:pPr>
      <w:keepNext/>
      <w:keepLines/>
      <w:widowControl/>
      <w:suppressLineNumbers/>
      <w:tabs>
        <w:tab w:val="left" w:pos="1134"/>
      </w:tabs>
      <w:suppressAutoHyphens/>
      <w:ind w:left="1134" w:hanging="567"/>
      <w:jc w:val="center"/>
    </w:pPr>
    <w:rPr>
      <w:rFonts w:ascii="仿宋_GB2312" w:eastAsia="仿宋_GB2312"/>
      <w:kern w:val="28"/>
      <w:sz w:val="28"/>
    </w:rPr>
  </w:style>
  <w:style w:type="paragraph" w:customStyle="1" w:styleId="508">
    <w:name w:val="xl24"/>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jc w:val="center"/>
      <w:textAlignment w:val="center"/>
    </w:pPr>
    <w:rPr>
      <w:rFonts w:ascii="Arial Unicode MS" w:hAnsi="Arial Unicode MS"/>
      <w:b/>
      <w:kern w:val="0"/>
      <w:sz w:val="22"/>
      <w:lang w:eastAsia="en-US"/>
    </w:rPr>
  </w:style>
  <w:style w:type="paragraph" w:customStyle="1" w:styleId="509">
    <w:name w:val="xl68"/>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510">
    <w:name w:val="样式1-6"/>
    <w:basedOn w:val="1"/>
    <w:qFormat/>
    <w:uiPriority w:val="0"/>
    <w:pPr>
      <w:keepNext/>
      <w:tabs>
        <w:tab w:val="left" w:pos="1134"/>
      </w:tabs>
      <w:ind w:left="1134" w:hanging="567"/>
    </w:pPr>
    <w:rPr>
      <w:rFonts w:ascii="宋体" w:hAnsi="宋体"/>
      <w:color w:val="000000"/>
      <w:kern w:val="28"/>
      <w:sz w:val="28"/>
    </w:rPr>
  </w:style>
  <w:style w:type="paragraph" w:customStyle="1" w:styleId="511">
    <w:name w:val="Õý±í¸ñÄÚÈÝ"/>
    <w:basedOn w:val="1"/>
    <w:qFormat/>
    <w:uiPriority w:val="0"/>
    <w:pPr>
      <w:tabs>
        <w:tab w:val="left" w:pos="480"/>
      </w:tabs>
      <w:spacing w:line="240" w:lineRule="auto"/>
      <w:jc w:val="center"/>
    </w:pPr>
    <w:rPr>
      <w:rFonts w:ascii="宋体"/>
      <w:kern w:val="0"/>
      <w:sz w:val="18"/>
    </w:rPr>
  </w:style>
  <w:style w:type="paragraph" w:customStyle="1" w:styleId="512">
    <w:name w:val="xl83"/>
    <w:basedOn w:val="1"/>
    <w:qFormat/>
    <w:uiPriority w:val="0"/>
    <w:pPr>
      <w:widowControl/>
      <w:pBdr>
        <w:bottom w:val="single" w:color="auto" w:sz="8" w:space="0"/>
      </w:pBdr>
      <w:spacing w:before="100" w:beforeAutospacing="1" w:after="100" w:afterAutospacing="1" w:line="240" w:lineRule="auto"/>
    </w:pPr>
    <w:rPr>
      <w:rFonts w:ascii="宋体" w:hAnsi="宋体"/>
      <w:kern w:val="0"/>
    </w:rPr>
  </w:style>
  <w:style w:type="paragraph" w:customStyle="1" w:styleId="513">
    <w:name w:val="Figure_#"/>
    <w:basedOn w:val="1"/>
    <w:next w:val="1"/>
    <w:qFormat/>
    <w:uiPriority w:val="0"/>
    <w:pPr>
      <w:keepNext/>
      <w:tabs>
        <w:tab w:val="left" w:pos="794"/>
        <w:tab w:val="left" w:pos="1191"/>
        <w:tab w:val="left" w:pos="1588"/>
        <w:tab w:val="left" w:pos="1985"/>
      </w:tabs>
      <w:spacing w:before="480" w:after="120" w:line="240" w:lineRule="auto"/>
      <w:jc w:val="center"/>
    </w:pPr>
    <w:rPr>
      <w:caps/>
      <w:kern w:val="0"/>
      <w:lang w:val="de-DE" w:eastAsia="en-US"/>
    </w:rPr>
  </w:style>
  <w:style w:type="paragraph" w:customStyle="1" w:styleId="514">
    <w:name w:val="正文1缩进"/>
    <w:basedOn w:val="323"/>
    <w:qFormat/>
    <w:uiPriority w:val="0"/>
    <w:pPr>
      <w:spacing w:before="156" w:beforeLines="50" w:after="156" w:afterLines="50" w:line="380" w:lineRule="atLeast"/>
      <w:ind w:left="984" w:leftChars="410" w:firstLine="5" w:firstLineChars="2"/>
    </w:pPr>
    <w:rPr>
      <w:snapToGrid w:val="0"/>
      <w:kern w:val="0"/>
    </w:rPr>
  </w:style>
  <w:style w:type="paragraph" w:customStyle="1" w:styleId="515">
    <w:name w:val="样式1-2"/>
    <w:basedOn w:val="5"/>
    <w:qFormat/>
    <w:uiPriority w:val="0"/>
    <w:pPr>
      <w:keepLines w:val="0"/>
      <w:numPr>
        <w:ilvl w:val="0"/>
        <w:numId w:val="0"/>
      </w:numPr>
      <w:tabs>
        <w:tab w:val="left" w:pos="1134"/>
      </w:tabs>
      <w:ind w:left="1134" w:hanging="567" w:firstLineChars="200"/>
      <w:jc w:val="left"/>
    </w:pPr>
    <w:rPr>
      <w:rFonts w:ascii="仿宋_GB2312" w:hAnsi="宋体" w:eastAsia="仿宋_GB2312"/>
      <w:b/>
      <w:kern w:val="28"/>
      <w:sz w:val="28"/>
    </w:rPr>
  </w:style>
  <w:style w:type="paragraph" w:customStyle="1" w:styleId="516">
    <w:name w:val="字元 字元 Char Char Char Char Char Char Char"/>
    <w:basedOn w:val="1"/>
    <w:qFormat/>
    <w:uiPriority w:val="0"/>
    <w:pPr>
      <w:spacing w:line="240" w:lineRule="auto"/>
    </w:pPr>
    <w:rPr>
      <w:rFonts w:ascii="Tahoma" w:hAnsi="Tahoma"/>
    </w:rPr>
  </w:style>
  <w:style w:type="paragraph" w:customStyle="1" w:styleId="517">
    <w:name w:val="标题2111"/>
    <w:basedOn w:val="482"/>
    <w:qFormat/>
    <w:uiPriority w:val="0"/>
    <w:pPr>
      <w:tabs>
        <w:tab w:val="clear" w:pos="851"/>
      </w:tabs>
      <w:ind w:left="0" w:firstLine="0"/>
    </w:pPr>
    <w:rPr>
      <w:b w:val="0"/>
    </w:rPr>
  </w:style>
  <w:style w:type="paragraph" w:customStyle="1" w:styleId="518">
    <w:name w:val="xl75"/>
    <w:basedOn w:val="1"/>
    <w:qFormat/>
    <w:uiPriority w:val="0"/>
    <w:pPr>
      <w:widowControl/>
      <w:pBdr>
        <w:top w:val="single" w:color="auto" w:sz="8" w:space="0"/>
        <w:left w:val="single" w:color="auto" w:sz="8" w:space="0"/>
        <w:bottom w:val="single" w:color="auto" w:sz="4" w:space="0"/>
      </w:pBdr>
      <w:spacing w:before="100" w:beforeAutospacing="1" w:after="100" w:afterAutospacing="1" w:line="240" w:lineRule="auto"/>
      <w:jc w:val="center"/>
    </w:pPr>
    <w:rPr>
      <w:rFonts w:ascii="宋体" w:hAnsi="宋体"/>
      <w:kern w:val="0"/>
      <w:sz w:val="20"/>
    </w:rPr>
  </w:style>
  <w:style w:type="paragraph" w:customStyle="1" w:styleId="519">
    <w:name w:val="目录4"/>
    <w:basedOn w:val="406"/>
    <w:qFormat/>
    <w:uiPriority w:val="0"/>
    <w:pPr>
      <w:keepNext/>
      <w:keepLines/>
      <w:widowControl/>
      <w:suppressLineNumbers/>
      <w:suppressAutoHyphens/>
    </w:pPr>
    <w:rPr>
      <w:rFonts w:eastAsia="仿宋_GB2312"/>
      <w:kern w:val="28"/>
      <w:sz w:val="28"/>
    </w:rPr>
  </w:style>
  <w:style w:type="paragraph" w:customStyle="1" w:styleId="520">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Verdana" w:hAnsi="Verdana"/>
      <w:kern w:val="0"/>
    </w:rPr>
  </w:style>
  <w:style w:type="paragraph" w:customStyle="1" w:styleId="521">
    <w:name w:val="默认段落字体 Para Char Char Char Char Char Char Char Char Char1 Char"/>
    <w:basedOn w:val="26"/>
    <w:qFormat/>
    <w:uiPriority w:val="0"/>
    <w:pPr>
      <w:adjustRightInd w:val="0"/>
      <w:spacing w:line="436" w:lineRule="exact"/>
      <w:ind w:left="357"/>
      <w:outlineLvl w:val="3"/>
    </w:pPr>
    <w:rPr>
      <w:rFonts w:ascii="Tahoma" w:hAnsi="Tahoma"/>
      <w:b/>
    </w:rPr>
  </w:style>
  <w:style w:type="paragraph" w:customStyle="1" w:styleId="522">
    <w:name w:val="9L"/>
    <w:qFormat/>
    <w:uiPriority w:val="0"/>
    <w:pPr>
      <w:spacing w:line="360" w:lineRule="auto"/>
      <w:ind w:left="709" w:hanging="482"/>
    </w:pPr>
    <w:rPr>
      <w:rFonts w:ascii="Arial" w:hAnsi="Arial" w:eastAsia="Times New Roman" w:cs="Times New Roman"/>
      <w:sz w:val="14"/>
      <w:lang w:val="en-GB" w:eastAsia="en-US" w:bidi="ar-SA"/>
    </w:rPr>
  </w:style>
  <w:style w:type="paragraph" w:customStyle="1" w:styleId="523">
    <w:name w:val="xl98"/>
    <w:basedOn w:val="1"/>
    <w:qFormat/>
    <w:uiPriority w:val="0"/>
    <w:pPr>
      <w:widowControl/>
      <w:pBdr>
        <w:left w:val="single" w:color="auto" w:sz="8" w:space="0"/>
        <w:right w:val="single" w:color="auto" w:sz="8" w:space="0"/>
      </w:pBdr>
      <w:spacing w:before="100" w:beforeAutospacing="1" w:after="100" w:afterAutospacing="1" w:line="240" w:lineRule="auto"/>
      <w:jc w:val="center"/>
    </w:pPr>
    <w:rPr>
      <w:rFonts w:ascii="宋体" w:hAnsi="宋体"/>
      <w:b/>
      <w:kern w:val="0"/>
      <w:sz w:val="18"/>
    </w:rPr>
  </w:style>
  <w:style w:type="paragraph" w:customStyle="1" w:styleId="524">
    <w:name w:val="样式3-33"/>
    <w:basedOn w:val="176"/>
    <w:qFormat/>
    <w:uiPriority w:val="0"/>
  </w:style>
  <w:style w:type="paragraph" w:customStyle="1" w:styleId="525">
    <w:name w:val="xl29"/>
    <w:basedOn w:val="1"/>
    <w:qFormat/>
    <w:uiPriority w:val="0"/>
    <w:pPr>
      <w:widowControl/>
      <w:pBdr>
        <w:bottom w:val="single" w:color="auto" w:sz="4" w:space="0"/>
        <w:right w:val="single" w:color="auto" w:sz="4" w:space="0"/>
      </w:pBdr>
      <w:spacing w:before="100" w:after="100" w:line="240" w:lineRule="auto"/>
      <w:jc w:val="center"/>
      <w:textAlignment w:val="top"/>
    </w:pPr>
    <w:rPr>
      <w:kern w:val="0"/>
      <w:sz w:val="21"/>
    </w:rPr>
  </w:style>
  <w:style w:type="paragraph" w:customStyle="1" w:styleId="526">
    <w:name w:val="样式3-27"/>
    <w:basedOn w:val="232"/>
    <w:qFormat/>
    <w:uiPriority w:val="0"/>
  </w:style>
  <w:style w:type="paragraph" w:customStyle="1" w:styleId="527">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hint="eastAsia" w:ascii="宋体" w:hAnsi="宋体"/>
      <w:kern w:val="0"/>
    </w:rPr>
  </w:style>
  <w:style w:type="paragraph" w:customStyle="1" w:styleId="528">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hint="eastAsia" w:ascii="宋体" w:hAnsi="宋体"/>
      <w:b/>
      <w:kern w:val="0"/>
    </w:rPr>
  </w:style>
  <w:style w:type="paragraph" w:customStyle="1" w:styleId="529">
    <w:name w:val="样式13"/>
    <w:basedOn w:val="1"/>
    <w:qFormat/>
    <w:uiPriority w:val="0"/>
    <w:pPr>
      <w:keepNext/>
      <w:tabs>
        <w:tab w:val="left" w:pos="1134"/>
      </w:tabs>
      <w:ind w:left="1134" w:hanging="567"/>
      <w:jc w:val="center"/>
    </w:pPr>
    <w:rPr>
      <w:rFonts w:ascii="仿宋_GB2312" w:eastAsia="仿宋_GB2312"/>
      <w:b/>
      <w:kern w:val="28"/>
      <w:sz w:val="28"/>
    </w:rPr>
  </w:style>
  <w:style w:type="paragraph" w:customStyle="1" w:styleId="530">
    <w:name w:val="xl86"/>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240" w:lineRule="auto"/>
    </w:pPr>
    <w:rPr>
      <w:kern w:val="0"/>
      <w:sz w:val="20"/>
    </w:rPr>
  </w:style>
  <w:style w:type="paragraph" w:customStyle="1" w:styleId="531">
    <w:name w:val="StandardOhneEinzug"/>
    <w:basedOn w:val="1"/>
    <w:qFormat/>
    <w:uiPriority w:val="0"/>
    <w:pPr>
      <w:widowControl/>
      <w:tabs>
        <w:tab w:val="left" w:pos="560"/>
      </w:tabs>
      <w:spacing w:after="240" w:line="288" w:lineRule="auto"/>
      <w:ind w:left="200"/>
    </w:pPr>
    <w:rPr>
      <w:rFonts w:ascii="Arial" w:hAnsi="Arial"/>
      <w:kern w:val="0"/>
      <w:sz w:val="22"/>
      <w:lang w:val="de-DE"/>
    </w:rPr>
  </w:style>
  <w:style w:type="paragraph" w:customStyle="1" w:styleId="532">
    <w:name w:val="zCoNa11p3bC"/>
    <w:qFormat/>
    <w:uiPriority w:val="0"/>
    <w:pPr>
      <w:spacing w:before="60" w:line="360" w:lineRule="auto"/>
      <w:ind w:left="57" w:right="57" w:hanging="482"/>
      <w:jc w:val="center"/>
    </w:pPr>
    <w:rPr>
      <w:rFonts w:ascii="Arial" w:hAnsi="Arial" w:eastAsia="宋体" w:cs="Times New Roman"/>
      <w:sz w:val="22"/>
      <w:lang w:val="en-US" w:eastAsia="en-US" w:bidi="ar-SA"/>
    </w:rPr>
  </w:style>
  <w:style w:type="paragraph" w:customStyle="1" w:styleId="533">
    <w:name w:val="xl84"/>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pPr>
    <w:rPr>
      <w:rFonts w:ascii="宋体" w:hAnsi="宋体"/>
      <w:b/>
      <w:kern w:val="0"/>
      <w:sz w:val="20"/>
    </w:rPr>
  </w:style>
  <w:style w:type="paragraph" w:customStyle="1" w:styleId="534">
    <w:name w:val="vierkant_n1"/>
    <w:qFormat/>
    <w:uiPriority w:val="0"/>
    <w:pPr>
      <w:tabs>
        <w:tab w:val="left" w:pos="1418"/>
      </w:tabs>
      <w:spacing w:line="360" w:lineRule="auto"/>
      <w:ind w:left="1418" w:hanging="284"/>
      <w:jc w:val="both"/>
    </w:pPr>
    <w:rPr>
      <w:rFonts w:ascii="Arial" w:hAnsi="Arial" w:eastAsia="Times New Roman" w:cs="Times New Roman"/>
      <w:sz w:val="22"/>
      <w:lang w:val="en-GB" w:eastAsia="en-US" w:bidi="ar-SA"/>
    </w:rPr>
  </w:style>
  <w:style w:type="paragraph" w:customStyle="1" w:styleId="535">
    <w:name w:val="方案正文"/>
    <w:qFormat/>
    <w:uiPriority w:val="0"/>
    <w:pPr>
      <w:widowControl w:val="0"/>
      <w:adjustRightInd w:val="0"/>
      <w:snapToGrid w:val="0"/>
      <w:spacing w:line="440" w:lineRule="exact"/>
      <w:ind w:left="709" w:firstLine="200" w:firstLineChars="200"/>
    </w:pPr>
    <w:rPr>
      <w:rFonts w:ascii="Times New Roman" w:hAnsi="Times New Roman" w:eastAsia="宋体" w:cs="Times New Roman"/>
      <w:sz w:val="26"/>
      <w:lang w:val="en-US" w:eastAsia="zh-CN" w:bidi="ar-SA"/>
    </w:rPr>
  </w:style>
  <w:style w:type="paragraph" w:customStyle="1" w:styleId="536">
    <w:name w:val="zClause6p0bL"/>
    <w:qFormat/>
    <w:uiPriority w:val="0"/>
    <w:pPr>
      <w:pBdr>
        <w:bottom w:val="single" w:color="auto" w:sz="6" w:space="1"/>
      </w:pBdr>
      <w:spacing w:line="360" w:lineRule="auto"/>
      <w:ind w:left="709" w:hanging="482"/>
    </w:pPr>
    <w:rPr>
      <w:rFonts w:ascii="Arial" w:hAnsi="Arial" w:eastAsia="宋体" w:cs="Times New Roman"/>
      <w:sz w:val="12"/>
      <w:lang w:val="en-US" w:eastAsia="en-US" w:bidi="ar-SA"/>
    </w:rPr>
  </w:style>
  <w:style w:type="paragraph" w:customStyle="1" w:styleId="537">
    <w:name w:val="项目符号"/>
    <w:basedOn w:val="351"/>
    <w:qFormat/>
    <w:uiPriority w:val="0"/>
    <w:pPr>
      <w:ind w:firstLine="0" w:firstLineChars="0"/>
    </w:pPr>
  </w:style>
  <w:style w:type="paragraph" w:customStyle="1" w:styleId="538">
    <w:name w:val="标题411"/>
    <w:basedOn w:val="6"/>
    <w:qFormat/>
    <w:uiPriority w:val="0"/>
    <w:pPr>
      <w:numPr>
        <w:ilvl w:val="0"/>
        <w:numId w:val="0"/>
      </w:numPr>
      <w:tabs>
        <w:tab w:val="left" w:pos="1134"/>
      </w:tabs>
      <w:ind w:left="1134" w:hanging="567"/>
    </w:pPr>
    <w:rPr>
      <w:rFonts w:hAnsi="宋体"/>
      <w:kern w:val="0"/>
      <w:sz w:val="28"/>
    </w:rPr>
  </w:style>
  <w:style w:type="paragraph" w:customStyle="1" w:styleId="539">
    <w:name w:val="样式8"/>
    <w:basedOn w:val="1"/>
    <w:qFormat/>
    <w:uiPriority w:val="0"/>
    <w:pPr>
      <w:keepNext/>
      <w:tabs>
        <w:tab w:val="left" w:pos="1134"/>
      </w:tabs>
      <w:ind w:left="1134" w:hanging="567"/>
      <w:jc w:val="center"/>
    </w:pPr>
    <w:rPr>
      <w:rFonts w:ascii="仿宋_GB2312" w:eastAsia="仿宋_GB2312"/>
      <w:b/>
      <w:kern w:val="28"/>
      <w:sz w:val="28"/>
    </w:rPr>
  </w:style>
  <w:style w:type="paragraph" w:customStyle="1" w:styleId="540">
    <w:name w:val="●"/>
    <w:basedOn w:val="1"/>
    <w:qFormat/>
    <w:uiPriority w:val="0"/>
    <w:pPr>
      <w:tabs>
        <w:tab w:val="left" w:leader="dot" w:pos="1701"/>
        <w:tab w:val="left" w:pos="9072"/>
      </w:tabs>
      <w:snapToGrid w:val="0"/>
      <w:spacing w:before="120" w:after="120" w:line="360" w:lineRule="atLeast"/>
      <w:ind w:left="2485" w:hanging="360"/>
    </w:pPr>
    <w:rPr>
      <w:kern w:val="21"/>
      <w:sz w:val="21"/>
    </w:rPr>
  </w:style>
  <w:style w:type="paragraph" w:customStyle="1" w:styleId="541">
    <w:name w:val="Table Heading"/>
    <w:qFormat/>
    <w:uiPriority w:val="0"/>
    <w:pPr>
      <w:snapToGrid w:val="0"/>
      <w:spacing w:line="360" w:lineRule="auto"/>
      <w:ind w:left="709" w:hanging="482"/>
      <w:jc w:val="center"/>
    </w:pPr>
    <w:rPr>
      <w:rFonts w:ascii="Arial" w:hAnsi="Arial" w:eastAsia="黑体" w:cs="Times New Roman"/>
      <w:sz w:val="18"/>
      <w:lang w:val="en-US" w:eastAsia="en-US" w:bidi="ar-SA"/>
    </w:rPr>
  </w:style>
  <w:style w:type="paragraph" w:customStyle="1" w:styleId="542">
    <w:name w:val="样式1-5"/>
    <w:basedOn w:val="1"/>
    <w:qFormat/>
    <w:uiPriority w:val="0"/>
    <w:pPr>
      <w:keepNext/>
      <w:keepLines/>
      <w:widowControl/>
      <w:suppressLineNumbers/>
      <w:tabs>
        <w:tab w:val="left" w:pos="1134"/>
      </w:tabs>
      <w:suppressAutoHyphens/>
      <w:ind w:left="1134" w:hanging="567"/>
    </w:pPr>
    <w:rPr>
      <w:rFonts w:ascii="仿宋_GB2312" w:eastAsia="仿宋_GB2312"/>
      <w:kern w:val="28"/>
      <w:sz w:val="28"/>
    </w:rPr>
  </w:style>
  <w:style w:type="paragraph" w:customStyle="1" w:styleId="543">
    <w:name w:val="招标文件1.1.1"/>
    <w:qFormat/>
    <w:uiPriority w:val="0"/>
    <w:pPr>
      <w:spacing w:before="120" w:after="120" w:line="480" w:lineRule="exact"/>
      <w:ind w:left="200" w:hanging="482"/>
      <w:outlineLvl w:val="3"/>
    </w:pPr>
    <w:rPr>
      <w:rFonts w:ascii="宋体" w:hAnsi="Times New Roman" w:eastAsia="宋体" w:cs="Times New Roman"/>
      <w:b/>
      <w:spacing w:val="10"/>
      <w:w w:val="95"/>
      <w:sz w:val="21"/>
      <w:lang w:val="en-US" w:eastAsia="zh-CN" w:bidi="ar-SA"/>
    </w:rPr>
  </w:style>
  <w:style w:type="paragraph" w:customStyle="1" w:styleId="544">
    <w:name w:val="字元 字元 Char Char Char Char Char Char Char1"/>
    <w:basedOn w:val="1"/>
    <w:qFormat/>
    <w:uiPriority w:val="0"/>
    <w:pPr>
      <w:spacing w:line="480" w:lineRule="exact"/>
      <w:ind w:firstLine="200" w:firstLineChars="200"/>
    </w:pPr>
  </w:style>
  <w:style w:type="paragraph" w:customStyle="1" w:styleId="545">
    <w:name w:val="font7"/>
    <w:basedOn w:val="1"/>
    <w:qFormat/>
    <w:uiPriority w:val="0"/>
    <w:pPr>
      <w:widowControl/>
      <w:spacing w:before="100" w:beforeAutospacing="1" w:after="100" w:afterAutospacing="1" w:line="240" w:lineRule="auto"/>
    </w:pPr>
    <w:rPr>
      <w:kern w:val="0"/>
      <w:sz w:val="20"/>
    </w:rPr>
  </w:style>
  <w:style w:type="character" w:customStyle="1" w:styleId="546">
    <w:name w:val="批注文字 Char"/>
    <w:link w:val="28"/>
    <w:qFormat/>
    <w:uiPriority w:val="99"/>
    <w:rPr>
      <w:rFonts w:eastAsia="宋体"/>
      <w:kern w:val="2"/>
      <w:sz w:val="24"/>
      <w:lang w:val="en-US" w:eastAsia="zh-CN" w:bidi="ar-SA"/>
    </w:rPr>
  </w:style>
  <w:style w:type="character" w:customStyle="1" w:styleId="547">
    <w:name w:val="Char Char Char Char Char1"/>
    <w:qFormat/>
    <w:uiPriority w:val="0"/>
    <w:rPr>
      <w:rFonts w:ascii="宋体" w:hAnsi="宋体" w:eastAsia="宋体"/>
      <w:kern w:val="2"/>
      <w:sz w:val="24"/>
      <w:lang w:val="en-US" w:eastAsia="zh-CN" w:bidi="ar-SA"/>
    </w:rPr>
  </w:style>
  <w:style w:type="paragraph" w:customStyle="1" w:styleId="548">
    <w:name w:val="正文(首行缩进)"/>
    <w:basedOn w:val="1"/>
    <w:qFormat/>
    <w:uiPriority w:val="0"/>
    <w:pPr>
      <w:spacing w:line="420" w:lineRule="atLeast"/>
      <w:ind w:firstLine="200" w:firstLineChars="200"/>
    </w:pPr>
    <w:rPr>
      <w:rFonts w:eastAsia="仿宋_GB2312"/>
      <w:snapToGrid w:val="0"/>
      <w:kern w:val="0"/>
      <w:szCs w:val="24"/>
    </w:rPr>
  </w:style>
  <w:style w:type="paragraph" w:customStyle="1" w:styleId="549">
    <w:name w:val="样式 表格中 5号居中无空格 + 宋体"/>
    <w:basedOn w:val="359"/>
    <w:qFormat/>
    <w:uiPriority w:val="0"/>
    <w:pPr>
      <w:textAlignment w:val="center"/>
    </w:pPr>
    <w:rPr>
      <w:rFonts w:ascii="宋体"/>
    </w:rPr>
  </w:style>
  <w:style w:type="paragraph" w:customStyle="1" w:styleId="550">
    <w:name w:val="样式 说明书  正文 + 首行缩进:  2 字符"/>
    <w:basedOn w:val="1"/>
    <w:qFormat/>
    <w:uiPriority w:val="0"/>
    <w:pPr>
      <w:adjustRightInd w:val="0"/>
      <w:snapToGrid w:val="0"/>
      <w:spacing w:line="460" w:lineRule="exact"/>
      <w:ind w:firstLine="480" w:firstLineChars="200"/>
    </w:pPr>
    <w:rPr>
      <w:rFonts w:cs="宋体"/>
    </w:rPr>
  </w:style>
  <w:style w:type="character" w:customStyle="1" w:styleId="551">
    <w:name w:val="正文缩进 Char"/>
    <w:link w:val="21"/>
    <w:qFormat/>
    <w:uiPriority w:val="0"/>
    <w:rPr>
      <w:rFonts w:eastAsia="仿宋_GB2312"/>
      <w:kern w:val="2"/>
      <w:sz w:val="32"/>
      <w:lang w:val="en-US" w:eastAsia="zh-CN" w:bidi="ar-SA"/>
    </w:rPr>
  </w:style>
  <w:style w:type="paragraph" w:customStyle="1" w:styleId="552">
    <w:name w:val="Char Char Char Char Char Char Char Char Char Char Char Char Char"/>
    <w:basedOn w:val="1"/>
    <w:qFormat/>
    <w:uiPriority w:val="0"/>
    <w:pPr>
      <w:spacing w:line="240" w:lineRule="auto"/>
    </w:pPr>
    <w:rPr>
      <w:rFonts w:ascii="仿宋_GB2312" w:eastAsia="仿宋_GB2312"/>
      <w:b/>
      <w:sz w:val="32"/>
      <w:szCs w:val="32"/>
    </w:rPr>
  </w:style>
  <w:style w:type="paragraph" w:customStyle="1" w:styleId="553">
    <w:name w:val="正文段落格式"/>
    <w:basedOn w:val="161"/>
    <w:link w:val="554"/>
    <w:qFormat/>
    <w:uiPriority w:val="0"/>
    <w:rPr>
      <w:rFonts w:cs="宋体"/>
    </w:rPr>
  </w:style>
  <w:style w:type="character" w:customStyle="1" w:styleId="554">
    <w:name w:val="正文段落格式 Char"/>
    <w:link w:val="553"/>
    <w:qFormat/>
    <w:uiPriority w:val="0"/>
    <w:rPr>
      <w:rFonts w:eastAsia="宋体" w:cs="宋体"/>
      <w:kern w:val="2"/>
      <w:sz w:val="24"/>
      <w:lang w:val="en-US" w:eastAsia="zh-CN" w:bidi="ar-SA"/>
    </w:rPr>
  </w:style>
  <w:style w:type="paragraph" w:customStyle="1" w:styleId="555">
    <w:name w:val="ｽﾀｲﾙ 1"/>
    <w:basedOn w:val="1"/>
    <w:qFormat/>
    <w:uiPriority w:val="0"/>
    <w:pPr>
      <w:adjustRightInd w:val="0"/>
      <w:spacing w:line="360" w:lineRule="atLeast"/>
      <w:textAlignment w:val="baseline"/>
    </w:pPr>
    <w:rPr>
      <w:rFonts w:ascii="Arial" w:hAnsi="Arial" w:eastAsia="MS Gothic"/>
      <w:kern w:val="0"/>
      <w:lang w:eastAsia="ja-JP"/>
    </w:rPr>
  </w:style>
  <w:style w:type="paragraph" w:customStyle="1" w:styleId="556">
    <w:name w:val="Normal 2"/>
    <w:basedOn w:val="1"/>
    <w:qFormat/>
    <w:uiPriority w:val="0"/>
    <w:pPr>
      <w:keepNext/>
      <w:keepLines/>
      <w:widowControl/>
      <w:tabs>
        <w:tab w:val="left" w:pos="720"/>
      </w:tabs>
      <w:suppressAutoHyphens/>
      <w:spacing w:line="240" w:lineRule="auto"/>
      <w:ind w:left="720" w:right="170" w:hanging="720"/>
    </w:pPr>
    <w:rPr>
      <w:snapToGrid w:val="0"/>
      <w:kern w:val="0"/>
      <w:sz w:val="20"/>
      <w:lang w:val="fr-FR"/>
    </w:rPr>
  </w:style>
  <w:style w:type="paragraph" w:customStyle="1" w:styleId="557">
    <w:name w:val="Texte3"/>
    <w:basedOn w:val="1"/>
    <w:qFormat/>
    <w:uiPriority w:val="0"/>
    <w:pPr>
      <w:widowControl/>
      <w:spacing w:line="240" w:lineRule="auto"/>
      <w:ind w:left="964"/>
    </w:pPr>
    <w:rPr>
      <w:rFonts w:ascii="Arial" w:hAnsi="Arial"/>
      <w:kern w:val="0"/>
      <w:lang w:val="fr-FR"/>
    </w:rPr>
  </w:style>
  <w:style w:type="paragraph" w:customStyle="1" w:styleId="558">
    <w:name w:val="Texte2"/>
    <w:basedOn w:val="1"/>
    <w:qFormat/>
    <w:uiPriority w:val="0"/>
    <w:pPr>
      <w:widowControl/>
      <w:spacing w:line="240" w:lineRule="auto"/>
      <w:ind w:left="624"/>
    </w:pPr>
    <w:rPr>
      <w:rFonts w:ascii="Arial" w:hAnsi="Arial"/>
      <w:kern w:val="0"/>
      <w:lang w:val="fr-FR"/>
    </w:rPr>
  </w:style>
  <w:style w:type="character" w:customStyle="1" w:styleId="559">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hAnsi="宋体" w:eastAsia="黑体"/>
      <w:kern w:val="2"/>
      <w:sz w:val="21"/>
      <w:lang w:val="en-US" w:eastAsia="zh-CN" w:bidi="ar-SA"/>
    </w:rPr>
  </w:style>
  <w:style w:type="character" w:customStyle="1" w:styleId="560">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561">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imes New Roman" w:hAnsi="Times New Roman" w:eastAsia="宋体"/>
      <w:bCs/>
      <w:sz w:val="28"/>
      <w:szCs w:val="28"/>
    </w:rPr>
  </w:style>
  <w:style w:type="paragraph" w:customStyle="1" w:styleId="562">
    <w:name w:val="Titre 2 lignes module"/>
    <w:basedOn w:val="1"/>
    <w:qFormat/>
    <w:uiPriority w:val="0"/>
    <w:pPr>
      <w:widowControl/>
      <w:spacing w:before="120" w:line="240" w:lineRule="auto"/>
      <w:jc w:val="center"/>
    </w:pPr>
    <w:rPr>
      <w:rFonts w:ascii="Arial" w:hAnsi="Arial"/>
      <w:b/>
      <w:kern w:val="0"/>
      <w:lang w:eastAsia="fr-FR"/>
    </w:rPr>
  </w:style>
  <w:style w:type="paragraph" w:customStyle="1" w:styleId="563">
    <w:name w:val="Tableau_norm2droite"/>
    <w:basedOn w:val="1"/>
    <w:qFormat/>
    <w:uiPriority w:val="0"/>
    <w:pPr>
      <w:widowControl/>
      <w:spacing w:before="72" w:line="240" w:lineRule="auto"/>
      <w:jc w:val="right"/>
    </w:pPr>
    <w:rPr>
      <w:rFonts w:ascii="Arial" w:hAnsi="Arial"/>
      <w:kern w:val="0"/>
      <w:lang w:eastAsia="fr-FR"/>
    </w:rPr>
  </w:style>
  <w:style w:type="character" w:customStyle="1" w:styleId="564">
    <w:name w:val="标题 1 1 Char Char Char Char"/>
    <w:qFormat/>
    <w:uiPriority w:val="0"/>
    <w:rPr>
      <w:rFonts w:eastAsia="黑体"/>
      <w:bCs/>
      <w:kern w:val="44"/>
      <w:sz w:val="21"/>
      <w:szCs w:val="44"/>
      <w:lang w:val="en-US" w:eastAsia="zh-CN" w:bidi="ar-SA"/>
    </w:rPr>
  </w:style>
  <w:style w:type="character" w:customStyle="1" w:styleId="565">
    <w:name w:val="编号标题2 Char Char Char"/>
    <w:qFormat/>
    <w:uiPriority w:val="0"/>
    <w:rPr>
      <w:rFonts w:ascii="Arial" w:hAnsi="Arial" w:eastAsia="黑体"/>
      <w:bCs/>
      <w:kern w:val="2"/>
      <w:sz w:val="21"/>
      <w:szCs w:val="32"/>
      <w:lang w:val="en-US" w:eastAsia="zh-CN" w:bidi="ar-SA"/>
    </w:rPr>
  </w:style>
  <w:style w:type="character" w:customStyle="1" w:styleId="566">
    <w:name w:val="text12st_hs1"/>
    <w:qFormat/>
    <w:uiPriority w:val="0"/>
    <w:rPr>
      <w:color w:val="000000"/>
      <w:sz w:val="19"/>
      <w:szCs w:val="19"/>
      <w:u w:val="none"/>
    </w:rPr>
  </w:style>
  <w:style w:type="paragraph" w:customStyle="1" w:styleId="567">
    <w:name w:val="表格文本"/>
    <w:basedOn w:val="1"/>
    <w:link w:val="689"/>
    <w:qFormat/>
    <w:uiPriority w:val="0"/>
    <w:pPr>
      <w:jc w:val="center"/>
    </w:pPr>
    <w:rPr>
      <w:rFonts w:ascii="Arial" w:hAnsi="Arial" w:cs="Arial"/>
      <w:snapToGrid w:val="0"/>
      <w:color w:val="000000"/>
      <w:kern w:val="0"/>
      <w:sz w:val="21"/>
    </w:rPr>
  </w:style>
  <w:style w:type="character" w:customStyle="1" w:styleId="568">
    <w:name w:val="样式 宋体 小四1"/>
    <w:qFormat/>
    <w:uiPriority w:val="0"/>
    <w:rPr>
      <w:rFonts w:ascii="宋体" w:hAnsi="宋体"/>
      <w:sz w:val="24"/>
    </w:rPr>
  </w:style>
  <w:style w:type="paragraph" w:customStyle="1" w:styleId="569">
    <w:name w:val="t1"/>
    <w:basedOn w:val="1"/>
    <w:qFormat/>
    <w:uiPriority w:val="0"/>
    <w:pPr>
      <w:tabs>
        <w:tab w:val="left" w:pos="420"/>
        <w:tab w:val="left" w:pos="879"/>
      </w:tabs>
      <w:spacing w:after="120"/>
      <w:ind w:left="1155" w:hanging="215"/>
    </w:pPr>
    <w:rPr>
      <w:rFonts w:ascii="宋体"/>
    </w:rPr>
  </w:style>
  <w:style w:type="paragraph" w:customStyle="1" w:styleId="570">
    <w:name w:val="一"/>
    <w:basedOn w:val="3"/>
    <w:qFormat/>
    <w:uiPriority w:val="0"/>
    <w:pPr>
      <w:keepNext w:val="0"/>
      <w:keepLines w:val="0"/>
      <w:numPr>
        <w:numId w:val="0"/>
      </w:numPr>
      <w:autoSpaceDN w:val="0"/>
      <w:adjustRightInd w:val="0"/>
      <w:spacing w:before="0" w:after="0"/>
    </w:pPr>
    <w:rPr>
      <w:rFonts w:ascii="宋体" w:hAnsi="宋体" w:eastAsia="宋体"/>
      <w:b/>
      <w:bCs/>
      <w:kern w:val="0"/>
    </w:rPr>
  </w:style>
  <w:style w:type="character" w:customStyle="1" w:styleId="571">
    <w:name w:val="一 Char"/>
    <w:qFormat/>
    <w:uiPriority w:val="0"/>
    <w:rPr>
      <w:rFonts w:ascii="宋体" w:hAnsi="宋体" w:eastAsia="宋体"/>
      <w:b/>
      <w:bCs/>
      <w:sz w:val="28"/>
      <w:lang w:val="en-US" w:eastAsia="zh-CN" w:bidi="ar-SA"/>
    </w:rPr>
  </w:style>
  <w:style w:type="paragraph" w:customStyle="1" w:styleId="572">
    <w:name w:val="1.1"/>
    <w:basedOn w:val="4"/>
    <w:qFormat/>
    <w:uiPriority w:val="0"/>
    <w:pPr>
      <w:keepLines w:val="0"/>
      <w:numPr>
        <w:ilvl w:val="0"/>
        <w:numId w:val="0"/>
      </w:numPr>
      <w:autoSpaceDE w:val="0"/>
      <w:autoSpaceDN w:val="0"/>
      <w:outlineLvl w:val="2"/>
    </w:pPr>
    <w:rPr>
      <w:rFonts w:ascii="宋体" w:hAnsi="宋体"/>
      <w:kern w:val="0"/>
      <w:sz w:val="21"/>
    </w:rPr>
  </w:style>
  <w:style w:type="paragraph" w:customStyle="1" w:styleId="573">
    <w:name w:val="点项"/>
    <w:basedOn w:val="1"/>
    <w:qFormat/>
    <w:uiPriority w:val="0"/>
    <w:rPr>
      <w:bCs/>
      <w:sz w:val="21"/>
      <w:szCs w:val="24"/>
    </w:rPr>
  </w:style>
  <w:style w:type="paragraph" w:customStyle="1" w:styleId="574">
    <w:name w:val="样式 题注 + 首行缩进:  2 字符"/>
    <w:basedOn w:val="22"/>
    <w:qFormat/>
    <w:uiPriority w:val="0"/>
    <w:pPr>
      <w:widowControl w:val="0"/>
      <w:adjustRightInd w:val="0"/>
      <w:snapToGrid w:val="0"/>
      <w:spacing w:before="0" w:line="500" w:lineRule="exact"/>
    </w:pPr>
    <w:rPr>
      <w:kern w:val="24"/>
      <w:sz w:val="24"/>
      <w:szCs w:val="24"/>
    </w:rPr>
  </w:style>
  <w:style w:type="paragraph" w:customStyle="1" w:styleId="575">
    <w:name w:val="正文段落"/>
    <w:basedOn w:val="1"/>
    <w:qFormat/>
    <w:uiPriority w:val="0"/>
    <w:pPr>
      <w:autoSpaceDE w:val="0"/>
      <w:autoSpaceDN w:val="0"/>
      <w:adjustRightInd w:val="0"/>
      <w:ind w:firstLine="567"/>
      <w:textAlignment w:val="baseline"/>
    </w:pPr>
    <w:rPr>
      <w:rFonts w:ascii="宋体" w:hAnsi="Tms Rmn"/>
      <w:kern w:val="0"/>
      <w:sz w:val="28"/>
    </w:rPr>
  </w:style>
  <w:style w:type="character" w:customStyle="1" w:styleId="576">
    <w:name w:val="Style 新細明體 14 pt"/>
    <w:qFormat/>
    <w:uiPriority w:val="0"/>
    <w:rPr>
      <w:rFonts w:ascii="PMingLiU" w:hAnsi="PMingLiU"/>
      <w:spacing w:val="30"/>
      <w:sz w:val="28"/>
    </w:rPr>
  </w:style>
  <w:style w:type="paragraph" w:customStyle="1" w:styleId="577">
    <w:name w:val="应答条款 Char Char"/>
    <w:basedOn w:val="1"/>
    <w:next w:val="1"/>
    <w:qFormat/>
    <w:uiPriority w:val="0"/>
    <w:pPr>
      <w:spacing w:after="50" w:afterLines="50" w:line="320" w:lineRule="exact"/>
      <w:ind w:firstLine="200" w:firstLineChars="200"/>
    </w:pPr>
    <w:rPr>
      <w:rFonts w:ascii="Arial" w:hAnsi="Arial" w:cs="Arial"/>
      <w:snapToGrid w:val="0"/>
      <w:color w:val="0000FF"/>
      <w:kern w:val="0"/>
      <w:sz w:val="21"/>
      <w:szCs w:val="21"/>
      <w:lang w:val="en-GB"/>
    </w:rPr>
  </w:style>
  <w:style w:type="paragraph" w:customStyle="1" w:styleId="578">
    <w:name w:val="小标题"/>
    <w:basedOn w:val="1"/>
    <w:qFormat/>
    <w:uiPriority w:val="0"/>
    <w:pPr>
      <w:spacing w:line="240" w:lineRule="auto"/>
      <w:ind w:left="200" w:leftChars="200"/>
    </w:pPr>
    <w:rPr>
      <w:rFonts w:ascii="Arial" w:hAnsi="Arial"/>
      <w:b/>
      <w:bCs/>
      <w:sz w:val="21"/>
    </w:rPr>
  </w:style>
  <w:style w:type="paragraph" w:customStyle="1" w:styleId="579">
    <w:name w:val="Body2"/>
    <w:basedOn w:val="3"/>
    <w:qFormat/>
    <w:uiPriority w:val="0"/>
    <w:pPr>
      <w:keepLines w:val="0"/>
      <w:widowControl/>
      <w:tabs>
        <w:tab w:val="left" w:pos="1008"/>
      </w:tabs>
      <w:autoSpaceDE/>
      <w:spacing w:before="120" w:after="240" w:line="240" w:lineRule="auto"/>
      <w:ind w:left="1152" w:firstLine="0"/>
      <w:outlineLvl w:val="9"/>
    </w:pPr>
    <w:rPr>
      <w:rFonts w:eastAsia="PMingLiU"/>
      <w:b/>
      <w:kern w:val="0"/>
      <w:szCs w:val="28"/>
      <w:lang w:eastAsia="zh-TW"/>
    </w:rPr>
  </w:style>
  <w:style w:type="paragraph" w:customStyle="1" w:styleId="580">
    <w:name w:val="Body6"/>
    <w:basedOn w:val="8"/>
    <w:qFormat/>
    <w:uiPriority w:val="0"/>
    <w:pPr>
      <w:keepNext w:val="0"/>
      <w:keepLines w:val="0"/>
      <w:widowControl/>
      <w:tabs>
        <w:tab w:val="left" w:pos="360"/>
        <w:tab w:val="left" w:pos="1008"/>
      </w:tabs>
      <w:spacing w:before="0" w:after="240" w:line="240" w:lineRule="auto"/>
      <w:ind w:left="1728" w:firstLine="0"/>
      <w:outlineLvl w:val="9"/>
    </w:pPr>
    <w:rPr>
      <w:rFonts w:eastAsia="PMingLiU"/>
      <w:kern w:val="0"/>
      <w:lang w:eastAsia="zh-TW"/>
    </w:rPr>
  </w:style>
  <w:style w:type="paragraph" w:customStyle="1" w:styleId="581">
    <w:name w:val="Body1"/>
    <w:basedOn w:val="3"/>
    <w:qFormat/>
    <w:uiPriority w:val="0"/>
    <w:pPr>
      <w:keepLines w:val="0"/>
      <w:widowControl/>
      <w:numPr>
        <w:numId w:val="0"/>
      </w:numPr>
      <w:tabs>
        <w:tab w:val="left" w:pos="1008"/>
      </w:tabs>
      <w:autoSpaceDE/>
      <w:spacing w:before="120" w:after="240" w:line="240" w:lineRule="auto"/>
      <w:ind w:left="1008" w:hanging="1008"/>
      <w:outlineLvl w:val="9"/>
    </w:pPr>
    <w:rPr>
      <w:rFonts w:eastAsia="PMingLiU"/>
      <w:caps/>
      <w:kern w:val="28"/>
      <w:szCs w:val="28"/>
      <w:lang w:eastAsia="zh-TW"/>
    </w:rPr>
  </w:style>
  <w:style w:type="paragraph" w:customStyle="1" w:styleId="582">
    <w:name w:val="Body7"/>
    <w:basedOn w:val="9"/>
    <w:qFormat/>
    <w:uiPriority w:val="0"/>
    <w:pPr>
      <w:keepNext w:val="0"/>
      <w:keepLines w:val="0"/>
      <w:widowControl/>
      <w:numPr>
        <w:ilvl w:val="3"/>
        <w:numId w:val="4"/>
      </w:numPr>
      <w:tabs>
        <w:tab w:val="clear" w:pos="2160"/>
      </w:tabs>
      <w:spacing w:before="0" w:after="240" w:line="240" w:lineRule="auto"/>
      <w:ind w:left="2304" w:firstLine="0"/>
      <w:outlineLvl w:val="9"/>
    </w:pPr>
    <w:rPr>
      <w:rFonts w:eastAsia="PMingLiU"/>
      <w:kern w:val="0"/>
      <w:lang w:eastAsia="zh-TW"/>
    </w:rPr>
  </w:style>
  <w:style w:type="paragraph" w:customStyle="1" w:styleId="583">
    <w:name w:val="Style Heading 1 + Justified"/>
    <w:basedOn w:val="3"/>
    <w:qFormat/>
    <w:uiPriority w:val="0"/>
    <w:pPr>
      <w:keepLines w:val="0"/>
      <w:widowControl/>
      <w:numPr>
        <w:ilvl w:val="4"/>
        <w:numId w:val="5"/>
      </w:numPr>
      <w:tabs>
        <w:tab w:val="left" w:pos="1152"/>
        <w:tab w:val="clear" w:pos="2160"/>
      </w:tabs>
      <w:autoSpaceDE/>
      <w:spacing w:before="120" w:after="360" w:line="240" w:lineRule="auto"/>
      <w:ind w:left="1152" w:hanging="1152"/>
    </w:pPr>
    <w:rPr>
      <w:rFonts w:eastAsia="PMingLiU" w:cs="PMingLiU"/>
      <w:b/>
      <w:kern w:val="28"/>
      <w:szCs w:val="28"/>
      <w:lang w:eastAsia="zh-TW"/>
    </w:rPr>
  </w:style>
  <w:style w:type="paragraph" w:customStyle="1" w:styleId="584">
    <w:name w:val="Style Heading 4 + Justified"/>
    <w:basedOn w:val="6"/>
    <w:qFormat/>
    <w:uiPriority w:val="0"/>
    <w:pPr>
      <w:numPr>
        <w:ilvl w:val="0"/>
        <w:numId w:val="0"/>
      </w:numPr>
      <w:tabs>
        <w:tab w:val="left" w:pos="1680"/>
      </w:tabs>
      <w:spacing w:after="240" w:line="240" w:lineRule="auto"/>
      <w:ind w:left="1680" w:hanging="420"/>
    </w:pPr>
    <w:rPr>
      <w:rFonts w:ascii="Arial" w:eastAsia="PMingLiU" w:cs="PMingLiU"/>
      <w:kern w:val="0"/>
      <w:lang w:eastAsia="zh-TW"/>
    </w:rPr>
  </w:style>
  <w:style w:type="paragraph" w:customStyle="1" w:styleId="585">
    <w:name w:val="Style Heading 5 + Justified"/>
    <w:basedOn w:val="7"/>
    <w:qFormat/>
    <w:uiPriority w:val="0"/>
    <w:pPr>
      <w:keepNext w:val="0"/>
      <w:keepLines w:val="0"/>
      <w:widowControl/>
      <w:numPr>
        <w:ilvl w:val="0"/>
        <w:numId w:val="0"/>
      </w:numPr>
      <w:tabs>
        <w:tab w:val="left" w:pos="2100"/>
      </w:tabs>
      <w:spacing w:before="0" w:after="240" w:line="240" w:lineRule="auto"/>
      <w:ind w:left="2100" w:hanging="420"/>
      <w:jc w:val="both"/>
    </w:pPr>
    <w:rPr>
      <w:rFonts w:ascii="Arial" w:hAnsi="Arial" w:eastAsia="PMingLiU" w:cs="PMingLiU"/>
      <w:kern w:val="0"/>
      <w:szCs w:val="24"/>
      <w:lang w:eastAsia="zh-TW"/>
    </w:rPr>
  </w:style>
  <w:style w:type="paragraph" w:customStyle="1" w:styleId="586">
    <w:name w:val="L9标题1"/>
    <w:basedOn w:val="1"/>
    <w:qFormat/>
    <w:uiPriority w:val="0"/>
    <w:pPr>
      <w:tabs>
        <w:tab w:val="left" w:pos="425"/>
      </w:tabs>
      <w:spacing w:before="100" w:beforeLines="100" w:after="50" w:afterLines="50"/>
      <w:ind w:left="425" w:hanging="425"/>
    </w:pPr>
    <w:rPr>
      <w:b/>
      <w:sz w:val="28"/>
      <w:szCs w:val="24"/>
    </w:rPr>
  </w:style>
  <w:style w:type="paragraph" w:customStyle="1" w:styleId="587">
    <w:name w:val="l9标题2"/>
    <w:basedOn w:val="1"/>
    <w:qFormat/>
    <w:uiPriority w:val="0"/>
    <w:pPr>
      <w:tabs>
        <w:tab w:val="left" w:pos="567"/>
      </w:tabs>
      <w:spacing w:before="100" w:beforeLines="100" w:after="50" w:afterLines="50"/>
      <w:ind w:left="567" w:hanging="567"/>
    </w:pPr>
    <w:rPr>
      <w:b/>
      <w:bCs/>
      <w:szCs w:val="24"/>
    </w:rPr>
  </w:style>
  <w:style w:type="paragraph" w:customStyle="1" w:styleId="588">
    <w:name w:val="l9标题3"/>
    <w:basedOn w:val="587"/>
    <w:qFormat/>
    <w:uiPriority w:val="0"/>
    <w:pPr>
      <w:tabs>
        <w:tab w:val="left" w:pos="709"/>
        <w:tab w:val="clear" w:pos="567"/>
      </w:tabs>
      <w:spacing w:before="0" w:beforeLines="0" w:after="0" w:afterLines="0"/>
      <w:ind w:left="709" w:hanging="709"/>
    </w:pPr>
    <w:rPr>
      <w:rFonts w:ascii="宋体" w:hAnsi="宋体"/>
      <w:b w:val="0"/>
      <w:snapToGrid w:val="0"/>
      <w:sz w:val="28"/>
      <w:szCs w:val="28"/>
    </w:rPr>
  </w:style>
  <w:style w:type="paragraph" w:customStyle="1" w:styleId="589">
    <w:name w:val="l9标题4"/>
    <w:basedOn w:val="587"/>
    <w:qFormat/>
    <w:uiPriority w:val="0"/>
    <w:pPr>
      <w:tabs>
        <w:tab w:val="left" w:pos="737"/>
        <w:tab w:val="clear" w:pos="567"/>
      </w:tabs>
      <w:spacing w:before="0" w:beforeLines="0" w:after="120" w:line="240" w:lineRule="auto"/>
      <w:ind w:left="737" w:hanging="737"/>
    </w:pPr>
    <w:rPr>
      <w:rFonts w:ascii="仿宋_GB2312" w:hAnsi="Arial" w:eastAsia="仿宋_GB2312" w:cs="Arial"/>
      <w:b w:val="0"/>
      <w:snapToGrid w:val="0"/>
    </w:rPr>
  </w:style>
  <w:style w:type="paragraph" w:customStyle="1" w:styleId="590">
    <w:name w:val="l9标题5"/>
    <w:basedOn w:val="587"/>
    <w:qFormat/>
    <w:uiPriority w:val="0"/>
    <w:pPr>
      <w:spacing w:before="0" w:beforeLines="0" w:after="190"/>
    </w:pPr>
    <w:rPr>
      <w:b w:val="0"/>
    </w:rPr>
  </w:style>
  <w:style w:type="paragraph" w:customStyle="1" w:styleId="591">
    <w:name w:val="l9标题6"/>
    <w:basedOn w:val="590"/>
    <w:qFormat/>
    <w:uiPriority w:val="0"/>
    <w:pPr>
      <w:tabs>
        <w:tab w:val="left" w:pos="2818"/>
        <w:tab w:val="clear" w:pos="567"/>
      </w:tabs>
      <w:ind w:left="2098" w:firstLine="0"/>
    </w:pPr>
  </w:style>
  <w:style w:type="paragraph" w:customStyle="1" w:styleId="592">
    <w:name w:val="l9标题7"/>
    <w:basedOn w:val="591"/>
    <w:qFormat/>
    <w:uiPriority w:val="0"/>
    <w:pPr>
      <w:tabs>
        <w:tab w:val="left" w:pos="3238"/>
        <w:tab w:val="clear" w:pos="2818"/>
      </w:tabs>
      <w:ind w:left="3238" w:hanging="720"/>
    </w:pPr>
  </w:style>
  <w:style w:type="table" w:customStyle="1" w:styleId="593">
    <w:name w:val="Table Grid1"/>
    <w:basedOn w:val="87"/>
    <w:qFormat/>
    <w:uiPriority w:val="0"/>
    <w:pPr>
      <w:widowControl w:val="0"/>
    </w:pPr>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594">
    <w:name w:val="Body2a"/>
    <w:basedOn w:val="579"/>
    <w:next w:val="1"/>
    <w:qFormat/>
    <w:uiPriority w:val="0"/>
    <w:pPr>
      <w:tabs>
        <w:tab w:val="left" w:pos="2592"/>
        <w:tab w:val="clear" w:pos="1008"/>
      </w:tabs>
      <w:spacing w:before="0" w:after="0"/>
    </w:pPr>
    <w:rPr>
      <w:b w:val="0"/>
      <w:sz w:val="24"/>
      <w:szCs w:val="20"/>
      <w:lang w:val="en-GB"/>
    </w:rPr>
  </w:style>
  <w:style w:type="character" w:customStyle="1" w:styleId="595">
    <w:name w:val="正文文本缩进 2 Char"/>
    <w:link w:val="51"/>
    <w:qFormat/>
    <w:uiPriority w:val="0"/>
    <w:rPr>
      <w:rFonts w:eastAsia="宋体"/>
      <w:kern w:val="2"/>
      <w:sz w:val="24"/>
      <w:lang w:val="en-US" w:eastAsia="zh-CN" w:bidi="ar-SA"/>
    </w:rPr>
  </w:style>
  <w:style w:type="paragraph" w:customStyle="1" w:styleId="596">
    <w:name w:val="樣式 標題 3 + (中文) MS Gothic 10.5 點 Char Char Char Char Char Char Char"/>
    <w:basedOn w:val="5"/>
    <w:link w:val="597"/>
    <w:qFormat/>
    <w:uiPriority w:val="0"/>
    <w:pPr>
      <w:keepLines w:val="0"/>
      <w:numPr>
        <w:ilvl w:val="0"/>
        <w:numId w:val="0"/>
      </w:numPr>
      <w:tabs>
        <w:tab w:val="left" w:pos="1395"/>
      </w:tabs>
      <w:spacing w:line="240" w:lineRule="auto"/>
      <w:ind w:left="1395" w:hanging="555"/>
    </w:pPr>
    <w:rPr>
      <w:rFonts w:hAnsi="PMingLiU" w:eastAsia="MS Gothic"/>
      <w:snapToGrid w:val="0"/>
      <w:color w:val="auto"/>
      <w:sz w:val="24"/>
      <w:szCs w:val="24"/>
      <w:lang w:val="en-AU" w:eastAsia="zh-TW"/>
    </w:rPr>
  </w:style>
  <w:style w:type="character" w:customStyle="1" w:styleId="597">
    <w:name w:val="樣式 標題 3 + (中文) MS Gothic 10.5 點 Char Char Char Char Char Char Char Char"/>
    <w:link w:val="596"/>
    <w:qFormat/>
    <w:uiPriority w:val="0"/>
    <w:rPr>
      <w:rFonts w:hAnsi="PMingLiU" w:eastAsia="MS Gothic"/>
      <w:bCs/>
      <w:snapToGrid w:val="0"/>
      <w:kern w:val="2"/>
      <w:sz w:val="24"/>
      <w:szCs w:val="24"/>
      <w:lang w:val="en-AU" w:eastAsia="zh-TW" w:bidi="ar-SA"/>
    </w:rPr>
  </w:style>
  <w:style w:type="paragraph" w:customStyle="1" w:styleId="598">
    <w:name w:val="樣式 標題 3 + (中文) MS Gothic 10.5 點 Char Char Char Char Char Char"/>
    <w:basedOn w:val="5"/>
    <w:qFormat/>
    <w:uiPriority w:val="0"/>
    <w:pPr>
      <w:keepLines w:val="0"/>
      <w:numPr>
        <w:ilvl w:val="0"/>
        <w:numId w:val="0"/>
      </w:numPr>
      <w:tabs>
        <w:tab w:val="left" w:pos="1395"/>
      </w:tabs>
      <w:spacing w:line="240" w:lineRule="auto"/>
      <w:ind w:left="1395" w:hanging="555"/>
    </w:pPr>
    <w:rPr>
      <w:rFonts w:hAnsi="PMingLiU" w:eastAsia="MS Gothic"/>
      <w:snapToGrid w:val="0"/>
      <w:szCs w:val="24"/>
      <w:lang w:val="en-AU" w:eastAsia="zh-TW"/>
    </w:rPr>
  </w:style>
  <w:style w:type="paragraph" w:customStyle="1" w:styleId="599">
    <w:name w:val="Style Style Style Body Text + Justified + (Complex) Times New Roman..."/>
    <w:basedOn w:val="1"/>
    <w:qFormat/>
    <w:uiPriority w:val="0"/>
    <w:pPr>
      <w:numPr>
        <w:ilvl w:val="0"/>
        <w:numId w:val="6"/>
      </w:numPr>
      <w:tabs>
        <w:tab w:val="left" w:pos="4044"/>
        <w:tab w:val="clear" w:pos="2722"/>
      </w:tabs>
      <w:spacing w:line="240" w:lineRule="auto"/>
      <w:ind w:left="4044" w:hanging="454"/>
    </w:pPr>
    <w:rPr>
      <w:rFonts w:eastAsia="PMingLiU"/>
      <w:snapToGrid w:val="0"/>
      <w:kern w:val="0"/>
      <w:szCs w:val="24"/>
      <w:lang w:val="en-AU"/>
    </w:rPr>
  </w:style>
  <w:style w:type="paragraph" w:customStyle="1" w:styleId="600">
    <w:name w:val="Style Body Text Indent 3 + Left  6.5 ch First line:  0 ch"/>
    <w:basedOn w:val="70"/>
    <w:qFormat/>
    <w:uiPriority w:val="0"/>
    <w:pPr>
      <w:tabs>
        <w:tab w:val="left" w:pos="-1843"/>
        <w:tab w:val="left" w:pos="-2"/>
        <w:tab w:val="left" w:pos="849"/>
        <w:tab w:val="left" w:pos="1560"/>
      </w:tabs>
      <w:suppressAutoHyphens/>
      <w:spacing w:line="240" w:lineRule="auto"/>
      <w:ind w:left="1560" w:hanging="720"/>
    </w:pPr>
    <w:rPr>
      <w:rFonts w:eastAsia="PMingLiU" w:cs="PMingLiU"/>
      <w:snapToGrid w:val="0"/>
      <w:kern w:val="0"/>
      <w:szCs w:val="24"/>
      <w:lang w:val="en-GB" w:eastAsia="zh-TW"/>
    </w:rPr>
  </w:style>
  <w:style w:type="character" w:customStyle="1" w:styleId="601">
    <w:name w:val="Right Par 8"/>
    <w:basedOn w:val="92"/>
    <w:qFormat/>
    <w:uiPriority w:val="0"/>
  </w:style>
  <w:style w:type="paragraph" w:customStyle="1" w:styleId="602">
    <w:name w:val="項目1A"/>
    <w:basedOn w:val="1"/>
    <w:qFormat/>
    <w:uiPriority w:val="0"/>
    <w:pPr>
      <w:tabs>
        <w:tab w:val="left" w:pos="1701"/>
      </w:tabs>
      <w:snapToGrid w:val="0"/>
      <w:spacing w:line="400" w:lineRule="atLeast"/>
    </w:pPr>
    <w:rPr>
      <w:rFonts w:eastAsia="DFKai-SB"/>
      <w:sz w:val="26"/>
      <w:szCs w:val="26"/>
      <w:lang w:eastAsia="zh-TW"/>
    </w:rPr>
  </w:style>
  <w:style w:type="character" w:customStyle="1" w:styleId="603">
    <w:name w:val="Style 樣式 標題 3 + (中文) MS Gothic 10.5 點 + (Latin) Times New Roman (A... Char"/>
    <w:link w:val="302"/>
    <w:qFormat/>
    <w:uiPriority w:val="0"/>
    <w:rPr>
      <w:rFonts w:eastAsia="PMingLiU"/>
      <w:b/>
      <w:snapToGrid w:val="0"/>
      <w:kern w:val="2"/>
      <w:sz w:val="24"/>
      <w:lang w:val="en-AU" w:eastAsia="zh-TW" w:bidi="ar-SA"/>
    </w:rPr>
  </w:style>
  <w:style w:type="paragraph" w:customStyle="1" w:styleId="604">
    <w:name w:val="Appendix Style2"/>
    <w:basedOn w:val="1"/>
    <w:qFormat/>
    <w:uiPriority w:val="0"/>
    <w:pPr>
      <w:tabs>
        <w:tab w:val="left" w:pos="1260"/>
      </w:tabs>
      <w:spacing w:line="240" w:lineRule="auto"/>
    </w:pPr>
    <w:rPr>
      <w:rFonts w:ascii="Times New Roman Bold" w:hAnsi="Times New Roman Bold" w:eastAsia="PMingLiU"/>
      <w:b/>
      <w:snapToGrid w:val="0"/>
      <w:kern w:val="0"/>
      <w:szCs w:val="24"/>
      <w:lang w:val="en-AU" w:eastAsia="zh-TW"/>
    </w:rPr>
  </w:style>
  <w:style w:type="paragraph" w:customStyle="1" w:styleId="605">
    <w:name w:val="Appendix Index"/>
    <w:basedOn w:val="1"/>
    <w:qFormat/>
    <w:uiPriority w:val="0"/>
    <w:pPr>
      <w:tabs>
        <w:tab w:val="left" w:pos="432"/>
      </w:tabs>
      <w:spacing w:line="240" w:lineRule="auto"/>
      <w:ind w:left="432" w:hanging="432"/>
    </w:pPr>
    <w:rPr>
      <w:rFonts w:eastAsia="PMingLiU"/>
      <w:snapToGrid w:val="0"/>
      <w:kern w:val="0"/>
      <w:szCs w:val="24"/>
      <w:lang w:val="en-AU"/>
    </w:rPr>
  </w:style>
  <w:style w:type="paragraph" w:customStyle="1" w:styleId="606">
    <w:name w:val="Appendix Index level 2"/>
    <w:basedOn w:val="1"/>
    <w:qFormat/>
    <w:uiPriority w:val="0"/>
    <w:pPr>
      <w:spacing w:line="240" w:lineRule="auto"/>
    </w:pPr>
    <w:rPr>
      <w:rFonts w:eastAsia="PMingLiU"/>
      <w:snapToGrid w:val="0"/>
      <w:kern w:val="0"/>
      <w:szCs w:val="24"/>
      <w:lang w:val="en-AU" w:eastAsia="en-US"/>
    </w:rPr>
  </w:style>
  <w:style w:type="character" w:customStyle="1" w:styleId="607">
    <w:name w:val="3 bullet Char Char Char"/>
    <w:qFormat/>
    <w:uiPriority w:val="0"/>
    <w:rPr>
      <w:rFonts w:ascii="Arial" w:hAnsi="Arial" w:eastAsia="PMingLiU"/>
      <w:sz w:val="24"/>
      <w:szCs w:val="24"/>
      <w:lang w:val="en-US" w:eastAsia="zh-TW" w:bidi="ar-SA"/>
    </w:rPr>
  </w:style>
  <w:style w:type="character" w:customStyle="1" w:styleId="608">
    <w:name w:val="Heading 3 Char1 字元"/>
    <w:qFormat/>
    <w:uiPriority w:val="0"/>
    <w:rPr>
      <w:rFonts w:ascii="Arial" w:hAnsi="Arial" w:eastAsia="PMingLiU"/>
      <w:sz w:val="24"/>
      <w:szCs w:val="24"/>
      <w:lang w:val="en-US" w:eastAsia="zh-TW" w:bidi="ar-SA"/>
    </w:rPr>
  </w:style>
  <w:style w:type="character" w:customStyle="1" w:styleId="609">
    <w:name w:val="列表编号3 字元"/>
    <w:qFormat/>
    <w:uiPriority w:val="0"/>
    <w:rPr>
      <w:rFonts w:eastAsia="宋体"/>
      <w:color w:val="000000"/>
      <w:kern w:val="2"/>
      <w:sz w:val="24"/>
      <w:szCs w:val="24"/>
      <w:lang w:val="en-US" w:eastAsia="zh-CN" w:bidi="ar-SA"/>
    </w:rPr>
  </w:style>
  <w:style w:type="paragraph" w:customStyle="1" w:styleId="610">
    <w:name w:val="正文内容"/>
    <w:basedOn w:val="1"/>
    <w:qFormat/>
    <w:uiPriority w:val="0"/>
    <w:pPr>
      <w:spacing w:line="240" w:lineRule="auto"/>
      <w:jc w:val="center"/>
    </w:pPr>
    <w:rPr>
      <w:rFonts w:ascii="宋体" w:hAnsi="宋体" w:cs="宋体"/>
      <w:sz w:val="28"/>
    </w:rPr>
  </w:style>
  <w:style w:type="paragraph" w:customStyle="1" w:styleId="611">
    <w:name w:val="节"/>
    <w:basedOn w:val="4"/>
    <w:qFormat/>
    <w:uiPriority w:val="0"/>
    <w:pPr>
      <w:numPr>
        <w:ilvl w:val="0"/>
        <w:numId w:val="0"/>
      </w:numPr>
      <w:spacing w:before="260" w:after="260" w:line="416" w:lineRule="auto"/>
    </w:pPr>
    <w:rPr>
      <w:rFonts w:ascii="黑体"/>
      <w:b w:val="0"/>
      <w:bCs w:val="0"/>
      <w:sz w:val="30"/>
    </w:rPr>
  </w:style>
  <w:style w:type="character" w:customStyle="1" w:styleId="612">
    <w:name w:val="章 Char"/>
    <w:qFormat/>
    <w:uiPriority w:val="0"/>
    <w:rPr>
      <w:rFonts w:ascii="黑体" w:eastAsia="黑体"/>
      <w:kern w:val="2"/>
      <w:sz w:val="44"/>
      <w:szCs w:val="30"/>
      <w:lang w:val="en-US" w:eastAsia="zh-CN" w:bidi="ar-SA"/>
    </w:rPr>
  </w:style>
  <w:style w:type="paragraph" w:customStyle="1" w:styleId="613">
    <w:name w:val="第一小节"/>
    <w:next w:val="1"/>
    <w:qFormat/>
    <w:uiPriority w:val="0"/>
    <w:pPr>
      <w:spacing w:line="360" w:lineRule="auto"/>
      <w:ind w:left="709" w:hanging="482"/>
    </w:pPr>
    <w:rPr>
      <w:rFonts w:ascii="黑体" w:hAnsi="Times New Roman" w:eastAsia="黑体" w:cs="Times New Roman"/>
      <w:iCs/>
      <w:kern w:val="2"/>
      <w:sz w:val="30"/>
      <w:szCs w:val="24"/>
      <w:lang w:val="en-US" w:eastAsia="zh-CN" w:bidi="ar-SA"/>
    </w:rPr>
  </w:style>
  <w:style w:type="paragraph" w:customStyle="1" w:styleId="614">
    <w:name w:val="第二小节"/>
    <w:next w:val="1"/>
    <w:qFormat/>
    <w:uiPriority w:val="0"/>
    <w:pPr>
      <w:spacing w:line="360" w:lineRule="auto"/>
      <w:ind w:left="709" w:firstLine="700" w:firstLineChars="250"/>
    </w:pPr>
    <w:rPr>
      <w:rFonts w:ascii="Times New Roman" w:hAnsi="Times New Roman" w:eastAsia="宋体" w:cs="Times New Roman"/>
      <w:b/>
      <w:kern w:val="2"/>
      <w:sz w:val="28"/>
      <w:szCs w:val="24"/>
      <w:lang w:val="en-US" w:eastAsia="zh-CN" w:bidi="ar-SA"/>
    </w:rPr>
  </w:style>
  <w:style w:type="paragraph" w:customStyle="1" w:styleId="615">
    <w:name w:val="样式 第二小节 + 首行缩进:  0 字符"/>
    <w:basedOn w:val="614"/>
    <w:qFormat/>
    <w:uiPriority w:val="0"/>
    <w:pPr>
      <w:ind w:firstLine="0" w:firstLineChars="0"/>
    </w:pPr>
    <w:rPr>
      <w:rFonts w:ascii="宋体" w:hAnsi="宋体" w:cs="宋体"/>
      <w:bCs/>
      <w:szCs w:val="20"/>
    </w:rPr>
  </w:style>
  <w:style w:type="paragraph" w:customStyle="1" w:styleId="616">
    <w:name w:val="样式 标题 1标题1 + 行距: 单倍行距"/>
    <w:basedOn w:val="3"/>
    <w:qFormat/>
    <w:uiPriority w:val="0"/>
    <w:pPr>
      <w:keepNext w:val="0"/>
      <w:keepLines w:val="0"/>
      <w:widowControl/>
      <w:numPr>
        <w:numId w:val="0"/>
      </w:numPr>
      <w:autoSpaceDE/>
      <w:adjustRightInd w:val="0"/>
      <w:snapToGrid w:val="0"/>
      <w:spacing w:before="0" w:after="0" w:line="240" w:lineRule="auto"/>
    </w:pPr>
    <w:rPr>
      <w:rFonts w:ascii="黑体" w:hAnsi="Times New Roman" w:cs="宋体"/>
      <w:kern w:val="2"/>
      <w:sz w:val="44"/>
    </w:rPr>
  </w:style>
  <w:style w:type="paragraph" w:customStyle="1" w:styleId="617">
    <w:name w:val="正文条款"/>
    <w:basedOn w:val="1"/>
    <w:next w:val="1"/>
    <w:qFormat/>
    <w:uiPriority w:val="0"/>
    <w:pPr>
      <w:spacing w:after="50" w:afterLines="50" w:line="320" w:lineRule="exact"/>
      <w:ind w:left="200" w:leftChars="200" w:firstLine="200" w:firstLineChars="200"/>
    </w:pPr>
    <w:rPr>
      <w:rFonts w:ascii="Arial" w:hAnsi="Arial" w:cs="Arial"/>
      <w:snapToGrid w:val="0"/>
      <w:color w:val="0000FF"/>
      <w:kern w:val="0"/>
      <w:sz w:val="21"/>
      <w:szCs w:val="21"/>
      <w:lang w:val="en-GB"/>
    </w:rPr>
  </w:style>
  <w:style w:type="paragraph" w:customStyle="1" w:styleId="618">
    <w:name w:val="末级"/>
    <w:basedOn w:val="1"/>
    <w:qFormat/>
    <w:uiPriority w:val="0"/>
    <w:pPr>
      <w:spacing w:line="240" w:lineRule="auto"/>
      <w:ind w:firstLine="560" w:firstLineChars="200"/>
    </w:pPr>
    <w:rPr>
      <w:sz w:val="28"/>
      <w:szCs w:val="21"/>
    </w:rPr>
  </w:style>
  <w:style w:type="paragraph" w:customStyle="1" w:styleId="619">
    <w:name w:val="容量"/>
    <w:basedOn w:val="1"/>
    <w:qFormat/>
    <w:uiPriority w:val="0"/>
    <w:pPr>
      <w:adjustRightInd w:val="0"/>
      <w:spacing w:line="312" w:lineRule="atLeast"/>
      <w:textAlignment w:val="baseline"/>
    </w:pPr>
    <w:rPr>
      <w:kern w:val="0"/>
    </w:rPr>
  </w:style>
  <w:style w:type="paragraph" w:customStyle="1" w:styleId="620">
    <w:name w:val="Style Style Body Text + Justified + Before:  0.11 ch"/>
    <w:basedOn w:val="1"/>
    <w:qFormat/>
    <w:uiPriority w:val="0"/>
    <w:pPr>
      <w:tabs>
        <w:tab w:val="left" w:pos="1111"/>
      </w:tabs>
      <w:spacing w:line="240" w:lineRule="auto"/>
      <w:ind w:left="1111" w:hanging="284"/>
    </w:pPr>
    <w:rPr>
      <w:rFonts w:eastAsia="PMingLiU"/>
      <w:snapToGrid w:val="0"/>
      <w:kern w:val="0"/>
      <w:szCs w:val="24"/>
      <w:lang w:val="en-AU"/>
    </w:rPr>
  </w:style>
  <w:style w:type="paragraph" w:customStyle="1" w:styleId="621">
    <w:name w:val="需求1"/>
    <w:basedOn w:val="35"/>
    <w:qFormat/>
    <w:uiPriority w:val="0"/>
    <w:pPr>
      <w:autoSpaceDE w:val="0"/>
      <w:autoSpaceDN w:val="0"/>
      <w:adjustRightInd w:val="0"/>
      <w:spacing w:before="120" w:beforeLines="50" w:line="336" w:lineRule="auto"/>
      <w:ind w:left="0" w:firstLine="540" w:firstLineChars="0"/>
      <w:textAlignment w:val="baseline"/>
    </w:pPr>
    <w:rPr>
      <w:rFonts w:hAnsi="Times New Roman"/>
      <w:b/>
      <w:kern w:val="0"/>
      <w:sz w:val="21"/>
    </w:rPr>
  </w:style>
  <w:style w:type="paragraph" w:customStyle="1" w:styleId="622">
    <w:name w:val="需求2"/>
    <w:basedOn w:val="35"/>
    <w:qFormat/>
    <w:uiPriority w:val="0"/>
    <w:pPr>
      <w:autoSpaceDE w:val="0"/>
      <w:autoSpaceDN w:val="0"/>
      <w:adjustRightInd w:val="0"/>
      <w:spacing w:before="120" w:beforeLines="50" w:line="336" w:lineRule="auto"/>
      <w:ind w:left="0" w:firstLine="540" w:firstLineChars="0"/>
      <w:textAlignment w:val="baseline"/>
    </w:pPr>
    <w:rPr>
      <w:rFonts w:hAnsi="Times New Roman"/>
      <w:b/>
      <w:bCs/>
      <w:kern w:val="0"/>
      <w:sz w:val="21"/>
    </w:rPr>
  </w:style>
  <w:style w:type="paragraph" w:customStyle="1" w:styleId="623">
    <w:name w:val="样式 标题 2标题 2 Char Char Char Char Char Char Char Char Char Char C..."/>
    <w:basedOn w:val="4"/>
    <w:link w:val="624"/>
    <w:qFormat/>
    <w:uiPriority w:val="0"/>
    <w:pPr>
      <w:keepLines w:val="0"/>
      <w:pageBreakBefore/>
      <w:numPr>
        <w:ilvl w:val="0"/>
        <w:numId w:val="0"/>
      </w:numPr>
      <w:spacing w:before="360" w:after="60" w:line="240" w:lineRule="auto"/>
    </w:pPr>
    <w:rPr>
      <w:b w:val="0"/>
      <w:bCs w:val="0"/>
      <w:caps/>
      <w:snapToGrid w:val="0"/>
      <w:color w:val="000000"/>
      <w:sz w:val="28"/>
      <w:szCs w:val="20"/>
      <w:lang w:val="en-GB"/>
    </w:rPr>
  </w:style>
  <w:style w:type="character" w:customStyle="1" w:styleId="624">
    <w:name w:val="样式 标题 2标题 2 Char Char Char Char Char Char Char Char Char Char C... Char"/>
    <w:link w:val="623"/>
    <w:qFormat/>
    <w:uiPriority w:val="0"/>
    <w:rPr>
      <w:rFonts w:eastAsia="宋体"/>
      <w:caps/>
      <w:snapToGrid w:val="0"/>
      <w:color w:val="000000"/>
      <w:kern w:val="2"/>
      <w:sz w:val="28"/>
      <w:lang w:val="en-GB" w:eastAsia="zh-CN" w:bidi="ar-SA"/>
    </w:rPr>
  </w:style>
  <w:style w:type="paragraph" w:customStyle="1" w:styleId="625">
    <w:name w:val="样式 标题 3第二层条第三层论文标题 21.1.1 标题 3列表编号33 bullet2head:3#Head..."/>
    <w:basedOn w:val="5"/>
    <w:qFormat/>
    <w:uiPriority w:val="0"/>
    <w:pPr>
      <w:numPr>
        <w:ilvl w:val="0"/>
        <w:numId w:val="0"/>
      </w:numPr>
      <w:suppressAutoHyphens/>
      <w:spacing w:before="156" w:beforeLines="50" w:line="300" w:lineRule="auto"/>
      <w:ind w:left="-2" w:leftChars="-2" w:hanging="4" w:hangingChars="2"/>
    </w:pPr>
    <w:rPr>
      <w:rFonts w:cs="宋体"/>
      <w:smallCaps/>
      <w:szCs w:val="21"/>
    </w:rPr>
  </w:style>
  <w:style w:type="paragraph" w:customStyle="1" w:styleId="626">
    <w:name w:val="样式 标题 4标题 5 Char Char标题 1)第四层条第五层H5dsddRoman listh5PIM..."/>
    <w:basedOn w:val="6"/>
    <w:qFormat/>
    <w:uiPriority w:val="0"/>
    <w:pPr>
      <w:numPr>
        <w:ilvl w:val="0"/>
        <w:numId w:val="0"/>
      </w:numPr>
      <w:suppressAutoHyphens/>
      <w:spacing w:before="120" w:line="300" w:lineRule="auto"/>
      <w:ind w:right="170"/>
    </w:pPr>
    <w:rPr>
      <w:rFonts w:cs="宋体"/>
      <w:smallCaps/>
      <w:snapToGrid w:val="0"/>
      <w:kern w:val="0"/>
      <w:szCs w:val="21"/>
      <w:lang w:val="en-GB"/>
    </w:rPr>
  </w:style>
  <w:style w:type="paragraph" w:customStyle="1" w:styleId="627">
    <w:name w:val="样式 标题 2标题 2 Char Char Char Char Char Char Char Char Char Char C...1"/>
    <w:basedOn w:val="4"/>
    <w:qFormat/>
    <w:uiPriority w:val="0"/>
    <w:pPr>
      <w:keepLines w:val="0"/>
      <w:pageBreakBefore/>
      <w:numPr>
        <w:ilvl w:val="0"/>
        <w:numId w:val="0"/>
      </w:numPr>
      <w:spacing w:before="360" w:after="60" w:line="240" w:lineRule="auto"/>
      <w:ind w:right="170"/>
    </w:pPr>
    <w:rPr>
      <w:rFonts w:ascii="宋体" w:hAnsi="宋体"/>
      <w:b w:val="0"/>
      <w:bCs w:val="0"/>
      <w:caps/>
      <w:sz w:val="21"/>
      <w:szCs w:val="21"/>
      <w:lang w:val="en-GB"/>
    </w:rPr>
  </w:style>
  <w:style w:type="paragraph" w:customStyle="1" w:styleId="628">
    <w:name w:val="默认段落字体 Para Char Char Char Char Char Char Char Char Char Char"/>
    <w:basedOn w:val="1"/>
    <w:qFormat/>
    <w:uiPriority w:val="0"/>
    <w:pPr>
      <w:spacing w:line="240" w:lineRule="auto"/>
    </w:pPr>
    <w:rPr>
      <w:rFonts w:ascii="Tahoma" w:hAnsi="Tahoma"/>
    </w:rPr>
  </w:style>
  <w:style w:type="character" w:customStyle="1" w:styleId="629">
    <w:name w:val="font"/>
    <w:basedOn w:val="92"/>
    <w:qFormat/>
    <w:uiPriority w:val="0"/>
  </w:style>
  <w:style w:type="paragraph" w:customStyle="1" w:styleId="630">
    <w:name w:val="标准正文"/>
    <w:basedOn w:val="1"/>
    <w:qFormat/>
    <w:uiPriority w:val="0"/>
    <w:pPr>
      <w:adjustRightInd w:val="0"/>
      <w:snapToGrid w:val="0"/>
      <w:spacing w:before="115" w:beforeLines="25" w:line="240" w:lineRule="exact"/>
      <w:ind w:left="-86" w:leftChars="-30" w:right="-86" w:rightChars="-30"/>
      <w:jc w:val="center"/>
    </w:pPr>
    <w:rPr>
      <w:spacing w:val="-6"/>
      <w:sz w:val="15"/>
      <w:szCs w:val="28"/>
    </w:rPr>
  </w:style>
  <w:style w:type="paragraph" w:customStyle="1" w:styleId="631">
    <w:name w:val="表格文字小 (左对齐)"/>
    <w:basedOn w:val="1"/>
    <w:qFormat/>
    <w:uiPriority w:val="0"/>
    <w:pPr>
      <w:adjustRightInd w:val="0"/>
      <w:spacing w:line="240" w:lineRule="atLeast"/>
      <w:textAlignment w:val="baseline"/>
    </w:pPr>
    <w:rPr>
      <w:rFonts w:ascii="宋体"/>
      <w:sz w:val="18"/>
      <w:szCs w:val="18"/>
    </w:rPr>
  </w:style>
  <w:style w:type="paragraph" w:customStyle="1" w:styleId="632">
    <w:name w:val="Char Char Char1 Char Char Char Char Char Char Char Char Char Char Char Char Char Char Char Char Char Char Char Char Char Char Char Char Char Char Char Char Char Char Char"/>
    <w:basedOn w:val="1"/>
    <w:qFormat/>
    <w:uiPriority w:val="0"/>
    <w:pPr>
      <w:spacing w:line="240" w:lineRule="auto"/>
    </w:pPr>
    <w:rPr>
      <w:rFonts w:ascii="Tahoma" w:hAnsi="Tahoma"/>
    </w:rPr>
  </w:style>
  <w:style w:type="paragraph" w:customStyle="1" w:styleId="633">
    <w:name w:val="图表小四中对齐"/>
    <w:basedOn w:val="1"/>
    <w:qFormat/>
    <w:uiPriority w:val="0"/>
    <w:pPr>
      <w:adjustRightInd w:val="0"/>
      <w:spacing w:line="360" w:lineRule="exact"/>
      <w:jc w:val="center"/>
      <w:textAlignment w:val="baseline"/>
    </w:pPr>
    <w:rPr>
      <w:spacing w:val="-10"/>
      <w:szCs w:val="21"/>
    </w:rPr>
  </w:style>
  <w:style w:type="paragraph" w:customStyle="1" w:styleId="634">
    <w:name w:val="Appendix Index level 1"/>
    <w:basedOn w:val="1"/>
    <w:qFormat/>
    <w:uiPriority w:val="0"/>
    <w:pPr>
      <w:tabs>
        <w:tab w:val="left" w:pos="1121"/>
      </w:tabs>
      <w:spacing w:before="120" w:beforeLines="50" w:after="120" w:afterLines="50"/>
      <w:ind w:left="1121" w:hanging="720"/>
    </w:pPr>
    <w:rPr>
      <w:rFonts w:eastAsia="PMingLiU"/>
      <w:snapToGrid w:val="0"/>
      <w:kern w:val="0"/>
      <w:szCs w:val="24"/>
      <w:lang w:val="en-AU" w:eastAsia="zh-TW"/>
    </w:rPr>
  </w:style>
  <w:style w:type="paragraph" w:customStyle="1" w:styleId="635">
    <w:name w:val="Appendix Index level 3"/>
    <w:basedOn w:val="634"/>
    <w:next w:val="1"/>
    <w:qFormat/>
    <w:uiPriority w:val="0"/>
    <w:pPr>
      <w:tabs>
        <w:tab w:val="left" w:pos="1276"/>
        <w:tab w:val="clear" w:pos="1121"/>
      </w:tabs>
      <w:spacing w:before="60" w:beforeLines="0" w:after="60" w:afterLines="0" w:line="240" w:lineRule="auto"/>
      <w:ind w:left="1418" w:hanging="567"/>
    </w:pPr>
    <w:rPr>
      <w:rFonts w:cs="PMingLiU"/>
    </w:rPr>
  </w:style>
  <w:style w:type="paragraph" w:customStyle="1" w:styleId="636">
    <w:name w:val="Char Char Char1 Char Char Char Char Char Char Char Char Char Char Char Char Char Char Char Char Char Char Char Char Char"/>
    <w:basedOn w:val="1"/>
    <w:qFormat/>
    <w:uiPriority w:val="0"/>
    <w:pPr>
      <w:spacing w:line="240" w:lineRule="auto"/>
    </w:pPr>
    <w:rPr>
      <w:rFonts w:ascii="Tahoma" w:hAnsi="Tahoma"/>
    </w:rPr>
  </w:style>
  <w:style w:type="paragraph" w:customStyle="1" w:styleId="637">
    <w:name w:val="Char Char Char1 Char Char Char Char Char Char Char Char Char Char Char Char Char Char Char Char Char Char Char Char Char Char Char Char1 Char Char Char"/>
    <w:basedOn w:val="1"/>
    <w:qFormat/>
    <w:uiPriority w:val="0"/>
    <w:pPr>
      <w:spacing w:line="240" w:lineRule="auto"/>
    </w:pPr>
    <w:rPr>
      <w:rFonts w:ascii="Tahoma" w:hAnsi="Tahoma"/>
    </w:rPr>
  </w:style>
  <w:style w:type="paragraph" w:customStyle="1" w:styleId="638">
    <w:name w:val="纯文本1"/>
    <w:basedOn w:val="1"/>
    <w:qFormat/>
    <w:uiPriority w:val="0"/>
    <w:pPr>
      <w:adjustRightInd w:val="0"/>
      <w:spacing w:line="312" w:lineRule="atLeast"/>
    </w:pPr>
    <w:rPr>
      <w:rFonts w:ascii="宋体" w:hAnsi="Courier New"/>
      <w:kern w:val="0"/>
      <w:sz w:val="28"/>
    </w:rPr>
  </w:style>
  <w:style w:type="paragraph" w:customStyle="1" w:styleId="639">
    <w:name w:val="默认段落字体 Para Char Char Char Char Char Char Char"/>
    <w:basedOn w:val="1"/>
    <w:qFormat/>
    <w:uiPriority w:val="0"/>
    <w:pPr>
      <w:spacing w:line="240" w:lineRule="auto"/>
    </w:pPr>
    <w:rPr>
      <w:rFonts w:ascii="Tahoma" w:hAnsi="Tahoma"/>
    </w:rPr>
  </w:style>
  <w:style w:type="paragraph" w:customStyle="1" w:styleId="640">
    <w:name w:val="黑正文"/>
    <w:basedOn w:val="1"/>
    <w:qFormat/>
    <w:uiPriority w:val="0"/>
    <w:pPr>
      <w:widowControl/>
      <w:numPr>
        <w:ilvl w:val="0"/>
        <w:numId w:val="7"/>
      </w:numPr>
    </w:pPr>
    <w:rPr>
      <w:rFonts w:ascii="楷体_GB2312" w:eastAsia="楷体_GB2312"/>
      <w:b/>
      <w:kern w:val="0"/>
      <w:sz w:val="28"/>
      <w:szCs w:val="24"/>
    </w:rPr>
  </w:style>
  <w:style w:type="paragraph" w:customStyle="1" w:styleId="641">
    <w:name w:val="pt9"/>
    <w:basedOn w:val="1"/>
    <w:qFormat/>
    <w:uiPriority w:val="0"/>
    <w:pPr>
      <w:widowControl/>
      <w:spacing w:before="100" w:beforeAutospacing="1" w:after="100" w:afterAutospacing="1" w:line="240" w:lineRule="auto"/>
    </w:pPr>
    <w:rPr>
      <w:rFonts w:ascii="宋体" w:hAnsi="宋体"/>
      <w:kern w:val="0"/>
      <w:szCs w:val="24"/>
    </w:rPr>
  </w:style>
  <w:style w:type="paragraph" w:customStyle="1" w:styleId="642">
    <w:name w:val="Xie图文中"/>
    <w:qFormat/>
    <w:uiPriority w:val="0"/>
    <w:pPr>
      <w:widowControl w:val="0"/>
      <w:adjustRightInd w:val="0"/>
      <w:snapToGrid w:val="0"/>
      <w:spacing w:line="360" w:lineRule="auto"/>
      <w:ind w:left="709" w:hanging="482"/>
      <w:jc w:val="center"/>
    </w:pPr>
    <w:rPr>
      <w:rFonts w:ascii="Times New Roman" w:hAnsi="Times New Roman" w:eastAsia="仿宋_GB2312" w:cs="Times New Roman"/>
      <w:sz w:val="24"/>
      <w:lang w:val="en-US" w:eastAsia="zh-CN" w:bidi="ar-SA"/>
    </w:rPr>
  </w:style>
  <w:style w:type="character" w:customStyle="1" w:styleId="643">
    <w:name w:val="top11"/>
    <w:basedOn w:val="92"/>
    <w:qFormat/>
    <w:uiPriority w:val="0"/>
  </w:style>
  <w:style w:type="paragraph" w:customStyle="1" w:styleId="644">
    <w:name w:val="Char Char Char1 Char Char Char Char Char Char Char Char Char Char Char Char Char Char Char Char Char Char Char Char Char Char Char Char Char"/>
    <w:basedOn w:val="1"/>
    <w:qFormat/>
    <w:uiPriority w:val="0"/>
    <w:pPr>
      <w:spacing w:line="240" w:lineRule="auto"/>
    </w:pPr>
    <w:rPr>
      <w:rFonts w:ascii="Tahoma" w:hAnsi="Tahoma"/>
    </w:rPr>
  </w:style>
  <w:style w:type="paragraph" w:customStyle="1" w:styleId="645">
    <w:name w:val="Char Char Char1 Char Char Char Char Char Char Char Char Char Char Char Char Char Char Char Char"/>
    <w:basedOn w:val="1"/>
    <w:qFormat/>
    <w:uiPriority w:val="0"/>
    <w:pPr>
      <w:spacing w:line="240" w:lineRule="auto"/>
    </w:pPr>
    <w:rPr>
      <w:rFonts w:ascii="Tahoma" w:hAnsi="Tahoma"/>
    </w:rPr>
  </w:style>
  <w:style w:type="paragraph" w:customStyle="1" w:styleId="646">
    <w:name w:val="Char Char Char1 Char Char Char Char Char Char Char Char Char Char Char Char Char Char Char Char Char Char Char Char Char Char Char Char Char1"/>
    <w:basedOn w:val="1"/>
    <w:qFormat/>
    <w:uiPriority w:val="0"/>
    <w:pPr>
      <w:spacing w:line="240" w:lineRule="auto"/>
    </w:pPr>
    <w:rPr>
      <w:rFonts w:ascii="Tahoma" w:hAnsi="Tahoma"/>
    </w:rPr>
  </w:style>
  <w:style w:type="paragraph" w:customStyle="1" w:styleId="647">
    <w:name w:val="Char Char Char Char Char Char Char"/>
    <w:basedOn w:val="1"/>
    <w:qFormat/>
    <w:uiPriority w:val="0"/>
    <w:pPr>
      <w:widowControl/>
      <w:spacing w:after="160" w:line="240" w:lineRule="exact"/>
    </w:pPr>
    <w:rPr>
      <w:rFonts w:ascii="Verdana" w:hAnsi="Verdana" w:eastAsia="仿宋_GB2312"/>
      <w:kern w:val="0"/>
      <w:sz w:val="30"/>
      <w:szCs w:val="30"/>
      <w:lang w:eastAsia="en-US"/>
    </w:rPr>
  </w:style>
  <w:style w:type="paragraph" w:customStyle="1" w:styleId="648">
    <w:name w:val="Char Char Char Char"/>
    <w:basedOn w:val="1"/>
    <w:qFormat/>
    <w:uiPriority w:val="0"/>
    <w:pPr>
      <w:spacing w:line="240" w:lineRule="auto"/>
    </w:pPr>
    <w:rPr>
      <w:rFonts w:ascii="仿宋_GB2312" w:eastAsia="仿宋_GB2312"/>
      <w:b/>
      <w:sz w:val="32"/>
      <w:szCs w:val="32"/>
    </w:rPr>
  </w:style>
  <w:style w:type="paragraph" w:customStyle="1" w:styleId="649">
    <w:name w:val="Char Char Char1 Char Char Char Char"/>
    <w:basedOn w:val="1"/>
    <w:qFormat/>
    <w:uiPriority w:val="0"/>
    <w:pPr>
      <w:spacing w:line="240" w:lineRule="auto"/>
    </w:pPr>
    <w:rPr>
      <w:rFonts w:ascii="Tahoma" w:hAnsi="Tahoma" w:cs="仿宋_GB2312"/>
    </w:rPr>
  </w:style>
  <w:style w:type="paragraph" w:customStyle="1" w:styleId="650">
    <w:name w:val="Char Char2 Char Char Char Char1"/>
    <w:basedOn w:val="1"/>
    <w:qFormat/>
    <w:uiPriority w:val="0"/>
    <w:pPr>
      <w:spacing w:line="240" w:lineRule="auto"/>
    </w:pPr>
    <w:rPr>
      <w:rFonts w:ascii="Tahoma" w:hAnsi="Tahoma" w:cs="仿宋_GB2312"/>
    </w:rPr>
  </w:style>
  <w:style w:type="paragraph" w:customStyle="1" w:styleId="651">
    <w:name w:val="Char Char Char Char2"/>
    <w:basedOn w:val="1"/>
    <w:qFormat/>
    <w:uiPriority w:val="0"/>
    <w:pPr>
      <w:spacing w:line="240" w:lineRule="auto"/>
    </w:pPr>
    <w:rPr>
      <w:kern w:val="0"/>
      <w:sz w:val="21"/>
      <w:szCs w:val="24"/>
    </w:rPr>
  </w:style>
  <w:style w:type="paragraph" w:customStyle="1" w:styleId="652">
    <w:name w:val="招标项目符号1"/>
    <w:basedOn w:val="1"/>
    <w:link w:val="653"/>
    <w:qFormat/>
    <w:uiPriority w:val="0"/>
    <w:pPr>
      <w:numPr>
        <w:ilvl w:val="0"/>
        <w:numId w:val="8"/>
      </w:numPr>
      <w:tabs>
        <w:tab w:val="left" w:pos="540"/>
        <w:tab w:val="left" w:pos="840"/>
        <w:tab w:val="clear" w:pos="360"/>
      </w:tabs>
      <w:spacing w:line="240" w:lineRule="auto"/>
      <w:ind w:left="840" w:right="210" w:rightChars="100" w:hanging="420"/>
    </w:pPr>
    <w:rPr>
      <w:rFonts w:ascii="宋体" w:hAnsi="宋体"/>
      <w:sz w:val="21"/>
      <w:lang w:val="zh-CN"/>
    </w:rPr>
  </w:style>
  <w:style w:type="character" w:customStyle="1" w:styleId="653">
    <w:name w:val="招标项目符号1 Char Char"/>
    <w:link w:val="652"/>
    <w:qFormat/>
    <w:uiPriority w:val="0"/>
    <w:rPr>
      <w:rFonts w:ascii="宋体" w:hAnsi="宋体"/>
      <w:kern w:val="2"/>
      <w:sz w:val="21"/>
      <w:lang w:val="zh-CN" w:eastAsia="zh-CN"/>
    </w:rPr>
  </w:style>
  <w:style w:type="paragraph" w:customStyle="1" w:styleId="654">
    <w:name w:val="招标正文"/>
    <w:basedOn w:val="1"/>
    <w:qFormat/>
    <w:uiPriority w:val="0"/>
    <w:pPr>
      <w:ind w:firstLine="200" w:firstLineChars="200"/>
    </w:pPr>
    <w:rPr>
      <w:kern w:val="0"/>
      <w:sz w:val="21"/>
    </w:rPr>
  </w:style>
  <w:style w:type="paragraph" w:customStyle="1" w:styleId="655">
    <w:name w:val="二级标题格式"/>
    <w:basedOn w:val="4"/>
    <w:qFormat/>
    <w:uiPriority w:val="0"/>
    <w:pPr>
      <w:keepLines w:val="0"/>
      <w:numPr>
        <w:ilvl w:val="0"/>
        <w:numId w:val="0"/>
      </w:numPr>
      <w:spacing w:after="240" w:afterLines="100" w:line="240" w:lineRule="auto"/>
    </w:pPr>
    <w:rPr>
      <w:bCs w:val="0"/>
      <w:szCs w:val="28"/>
    </w:rPr>
  </w:style>
  <w:style w:type="paragraph" w:customStyle="1" w:styleId="656">
    <w:name w:val="三级标题格式"/>
    <w:basedOn w:val="5"/>
    <w:qFormat/>
    <w:uiPriority w:val="0"/>
    <w:pPr>
      <w:keepLines w:val="0"/>
      <w:numPr>
        <w:ilvl w:val="0"/>
        <w:numId w:val="0"/>
      </w:numPr>
      <w:spacing w:after="240" w:afterLines="100" w:line="240" w:lineRule="auto"/>
    </w:pPr>
    <w:rPr>
      <w:rFonts w:eastAsia="黑体"/>
      <w:bCs w:val="0"/>
      <w:sz w:val="28"/>
      <w:szCs w:val="28"/>
    </w:rPr>
  </w:style>
  <w:style w:type="paragraph" w:customStyle="1" w:styleId="657">
    <w:name w:val="四级标题格式"/>
    <w:basedOn w:val="6"/>
    <w:link w:val="663"/>
    <w:qFormat/>
    <w:uiPriority w:val="0"/>
    <w:pPr>
      <w:numPr>
        <w:ilvl w:val="0"/>
        <w:numId w:val="0"/>
      </w:numPr>
      <w:spacing w:after="240" w:afterLines="100" w:line="240" w:lineRule="auto"/>
    </w:pPr>
    <w:rPr>
      <w:rFonts w:eastAsia="黑体"/>
      <w:bCs/>
      <w:sz w:val="28"/>
      <w:szCs w:val="28"/>
      <w:lang w:val="en-US"/>
    </w:rPr>
  </w:style>
  <w:style w:type="paragraph" w:customStyle="1" w:styleId="658">
    <w:name w:val="五级标题格式"/>
    <w:basedOn w:val="7"/>
    <w:link w:val="668"/>
    <w:qFormat/>
    <w:uiPriority w:val="0"/>
    <w:pPr>
      <w:keepNext w:val="0"/>
      <w:keepLines w:val="0"/>
      <w:numPr>
        <w:ilvl w:val="0"/>
        <w:numId w:val="0"/>
      </w:numPr>
      <w:spacing w:before="0" w:after="120" w:afterLines="50" w:line="240" w:lineRule="auto"/>
      <w:jc w:val="both"/>
    </w:pPr>
    <w:rPr>
      <w:rFonts w:ascii="Times New Roman" w:hAnsi="Times New Roman"/>
      <w:b/>
      <w:bCs/>
      <w:szCs w:val="28"/>
      <w:lang w:val="en-US"/>
    </w:rPr>
  </w:style>
  <w:style w:type="paragraph" w:customStyle="1" w:styleId="659">
    <w:name w:val="九级标题格式"/>
    <w:basedOn w:val="553"/>
    <w:qFormat/>
    <w:uiPriority w:val="0"/>
    <w:pPr>
      <w:spacing w:after="120" w:afterLines="50" w:line="336" w:lineRule="auto"/>
      <w:ind w:firstLine="187" w:firstLineChars="0"/>
    </w:pPr>
  </w:style>
  <w:style w:type="paragraph" w:customStyle="1" w:styleId="660">
    <w:name w:val="六级标题格式"/>
    <w:basedOn w:val="1"/>
    <w:qFormat/>
    <w:uiPriority w:val="0"/>
    <w:pPr>
      <w:spacing w:after="50" w:afterLines="50" w:line="336" w:lineRule="auto"/>
      <w:outlineLvl w:val="5"/>
    </w:pPr>
    <w:rPr>
      <w:szCs w:val="24"/>
    </w:rPr>
  </w:style>
  <w:style w:type="paragraph" w:customStyle="1" w:styleId="661">
    <w:name w:val="七级标题格式"/>
    <w:basedOn w:val="1"/>
    <w:qFormat/>
    <w:uiPriority w:val="0"/>
    <w:pPr>
      <w:spacing w:after="50" w:afterLines="50" w:line="336" w:lineRule="auto"/>
      <w:outlineLvl w:val="6"/>
    </w:pPr>
    <w:rPr>
      <w:szCs w:val="24"/>
    </w:rPr>
  </w:style>
  <w:style w:type="paragraph" w:customStyle="1" w:styleId="662">
    <w:name w:val="八级正文格式"/>
    <w:basedOn w:val="553"/>
    <w:qFormat/>
    <w:uiPriority w:val="0"/>
    <w:pPr>
      <w:spacing w:after="120" w:afterLines="50" w:line="336" w:lineRule="auto"/>
      <w:ind w:firstLine="0" w:firstLineChars="0"/>
    </w:pPr>
  </w:style>
  <w:style w:type="character" w:customStyle="1" w:styleId="663">
    <w:name w:val="四级标题格式 Char"/>
    <w:link w:val="657"/>
    <w:qFormat/>
    <w:uiPriority w:val="0"/>
    <w:rPr>
      <w:rFonts w:eastAsia="黑体"/>
      <w:bCs/>
      <w:kern w:val="2"/>
      <w:sz w:val="28"/>
      <w:szCs w:val="28"/>
      <w:lang w:val="en-US" w:eastAsia="zh-CN" w:bidi="ar-SA"/>
    </w:rPr>
  </w:style>
  <w:style w:type="paragraph" w:customStyle="1" w:styleId="664">
    <w:name w:val="图名格式"/>
    <w:basedOn w:val="149"/>
    <w:qFormat/>
    <w:uiPriority w:val="0"/>
    <w:pPr>
      <w:spacing w:after="50" w:afterLines="50"/>
    </w:pPr>
    <w:rPr>
      <w:rFonts w:cs="宋体"/>
      <w:b/>
    </w:rPr>
  </w:style>
  <w:style w:type="paragraph" w:customStyle="1" w:styleId="665">
    <w:name w:val="段落格式"/>
    <w:basedOn w:val="1"/>
    <w:link w:val="976"/>
    <w:qFormat/>
    <w:uiPriority w:val="0"/>
    <w:pPr>
      <w:widowControl/>
      <w:adjustRightInd w:val="0"/>
      <w:snapToGrid w:val="0"/>
      <w:spacing w:after="156" w:afterLines="50" w:line="240" w:lineRule="auto"/>
      <w:ind w:firstLine="480" w:firstLineChars="200"/>
    </w:pPr>
    <w:rPr>
      <w:rFonts w:ascii="宋体" w:hAnsi="宋体"/>
      <w:kern w:val="0"/>
      <w:szCs w:val="24"/>
    </w:rPr>
  </w:style>
  <w:style w:type="paragraph" w:customStyle="1" w:styleId="666">
    <w:name w:val="图签格式"/>
    <w:basedOn w:val="1"/>
    <w:link w:val="667"/>
    <w:qFormat/>
    <w:uiPriority w:val="0"/>
    <w:pPr>
      <w:widowControl/>
      <w:adjustRightInd w:val="0"/>
      <w:snapToGrid w:val="0"/>
      <w:spacing w:after="156" w:afterLines="50"/>
      <w:jc w:val="center"/>
    </w:pPr>
    <w:rPr>
      <w:rFonts w:ascii="宋体" w:hAnsi="宋体"/>
      <w:color w:val="00CC00"/>
      <w:kern w:val="0"/>
      <w:szCs w:val="24"/>
    </w:rPr>
  </w:style>
  <w:style w:type="character" w:customStyle="1" w:styleId="667">
    <w:name w:val="图签格式 Char"/>
    <w:link w:val="666"/>
    <w:qFormat/>
    <w:uiPriority w:val="0"/>
    <w:rPr>
      <w:rFonts w:ascii="宋体" w:hAnsi="宋体" w:eastAsia="宋体"/>
      <w:color w:val="00CC00"/>
      <w:sz w:val="24"/>
      <w:szCs w:val="24"/>
      <w:lang w:val="en-US" w:eastAsia="zh-CN" w:bidi="ar-SA"/>
    </w:rPr>
  </w:style>
  <w:style w:type="character" w:customStyle="1" w:styleId="668">
    <w:name w:val="五级标题格式 Char"/>
    <w:link w:val="658"/>
    <w:qFormat/>
    <w:uiPriority w:val="0"/>
    <w:rPr>
      <w:rFonts w:eastAsia="宋体"/>
      <w:b/>
      <w:bCs/>
      <w:kern w:val="2"/>
      <w:sz w:val="24"/>
      <w:szCs w:val="28"/>
      <w:lang w:val="en-US" w:eastAsia="zh-CN" w:bidi="ar-SA"/>
    </w:rPr>
  </w:style>
  <w:style w:type="paragraph" w:customStyle="1" w:styleId="669">
    <w:name w:val="Char Char22 Char Char Char Char Char Char Char Char"/>
    <w:basedOn w:val="1"/>
    <w:qFormat/>
    <w:uiPriority w:val="0"/>
    <w:pPr>
      <w:ind w:firstLine="200" w:firstLineChars="200"/>
    </w:pPr>
    <w:rPr>
      <w:rFonts w:ascii="宋体" w:hAnsi="宋体" w:cs="宋体"/>
      <w:szCs w:val="24"/>
    </w:rPr>
  </w:style>
  <w:style w:type="character" w:customStyle="1" w:styleId="670">
    <w:name w:val="款，1 Char"/>
    <w:qFormat/>
    <w:uiPriority w:val="0"/>
    <w:rPr>
      <w:rFonts w:eastAsia="宋体"/>
      <w:b/>
      <w:sz w:val="28"/>
      <w:lang w:val="en-US" w:eastAsia="zh-CN"/>
    </w:rPr>
  </w:style>
  <w:style w:type="character" w:customStyle="1" w:styleId="671">
    <w:name w:val="标题 6 Char1"/>
    <w:link w:val="8"/>
    <w:qFormat/>
    <w:uiPriority w:val="0"/>
    <w:rPr>
      <w:rFonts w:ascii="Arial" w:hAnsi="Arial" w:eastAsia="黑体"/>
      <w:kern w:val="2"/>
      <w:sz w:val="24"/>
      <w:lang w:val="zh-CN" w:eastAsia="zh-CN"/>
    </w:rPr>
  </w:style>
  <w:style w:type="character" w:customStyle="1" w:styleId="672">
    <w:name w:val="标题 7 Char1"/>
    <w:link w:val="9"/>
    <w:qFormat/>
    <w:uiPriority w:val="0"/>
    <w:rPr>
      <w:rFonts w:ascii="Arial" w:hAnsi="Arial" w:eastAsia="黑体"/>
      <w:kern w:val="2"/>
      <w:sz w:val="24"/>
      <w:lang w:val="zh-CN" w:eastAsia="zh-CN"/>
    </w:rPr>
  </w:style>
  <w:style w:type="character" w:customStyle="1" w:styleId="673">
    <w:name w:val="标题 8 Char"/>
    <w:link w:val="10"/>
    <w:qFormat/>
    <w:uiPriority w:val="0"/>
    <w:rPr>
      <w:rFonts w:ascii="Arial" w:hAnsi="Arial" w:eastAsia="黑体"/>
      <w:kern w:val="2"/>
      <w:sz w:val="24"/>
      <w:lang w:val="zh-CN" w:eastAsia="zh-CN"/>
    </w:rPr>
  </w:style>
  <w:style w:type="character" w:customStyle="1" w:styleId="674">
    <w:name w:val="标题 9 Char"/>
    <w:link w:val="11"/>
    <w:qFormat/>
    <w:uiPriority w:val="0"/>
    <w:rPr>
      <w:rFonts w:ascii="Arial" w:hAnsi="Arial" w:eastAsia="黑体"/>
      <w:kern w:val="2"/>
      <w:sz w:val="24"/>
      <w:lang w:val="zh-CN" w:eastAsia="zh-CN"/>
    </w:rPr>
  </w:style>
  <w:style w:type="character" w:customStyle="1" w:styleId="675">
    <w:name w:val="Char Char17"/>
    <w:qFormat/>
    <w:uiPriority w:val="0"/>
    <w:rPr>
      <w:rFonts w:ascii="Arial" w:hAnsi="Arial" w:eastAsia="黑体"/>
      <w:b/>
      <w:sz w:val="24"/>
      <w:lang w:val="en-US" w:eastAsia="zh-CN"/>
    </w:rPr>
  </w:style>
  <w:style w:type="character" w:customStyle="1" w:styleId="676">
    <w:name w:val="正文文本缩进 3 Char"/>
    <w:link w:val="70"/>
    <w:qFormat/>
    <w:uiPriority w:val="0"/>
    <w:rPr>
      <w:rFonts w:eastAsia="宋体"/>
      <w:kern w:val="2"/>
      <w:sz w:val="24"/>
      <w:lang w:val="en-US" w:eastAsia="zh-CN" w:bidi="ar-SA"/>
    </w:rPr>
  </w:style>
  <w:style w:type="character" w:customStyle="1" w:styleId="677">
    <w:name w:val="样式1 Char"/>
    <w:link w:val="327"/>
    <w:qFormat/>
    <w:uiPriority w:val="0"/>
    <w:rPr>
      <w:rFonts w:eastAsia="宋体"/>
      <w:kern w:val="2"/>
      <w:sz w:val="24"/>
      <w:lang w:val="en-US" w:eastAsia="zh-CN" w:bidi="ar-SA"/>
    </w:rPr>
  </w:style>
  <w:style w:type="character" w:customStyle="1" w:styleId="678">
    <w:name w:val="Char Char15"/>
    <w:qFormat/>
    <w:uiPriority w:val="0"/>
    <w:rPr>
      <w:rFonts w:ascii="Arial" w:hAnsi="Arial" w:eastAsia="黑体"/>
      <w:sz w:val="24"/>
      <w:lang w:val="en-US" w:eastAsia="zh-CN"/>
    </w:rPr>
  </w:style>
  <w:style w:type="character" w:customStyle="1" w:styleId="679">
    <w:name w:val="正文首行缩进 Char"/>
    <w:link w:val="351"/>
    <w:qFormat/>
    <w:uiPriority w:val="0"/>
    <w:rPr>
      <w:rFonts w:eastAsia="宋体"/>
      <w:kern w:val="2"/>
      <w:sz w:val="24"/>
      <w:lang w:val="en-US" w:eastAsia="zh-CN" w:bidi="ar-SA"/>
    </w:rPr>
  </w:style>
  <w:style w:type="character" w:customStyle="1" w:styleId="680">
    <w:name w:val="正文文本 Char"/>
    <w:link w:val="34"/>
    <w:qFormat/>
    <w:uiPriority w:val="0"/>
    <w:rPr>
      <w:rFonts w:eastAsia="宋体"/>
      <w:kern w:val="2"/>
      <w:sz w:val="24"/>
      <w:lang w:val="en-US" w:eastAsia="zh-CN" w:bidi="ar-SA"/>
    </w:rPr>
  </w:style>
  <w:style w:type="character" w:customStyle="1" w:styleId="681">
    <w:name w:val="101节 Char Char Char Char Char"/>
    <w:qFormat/>
    <w:uiPriority w:val="0"/>
    <w:rPr>
      <w:rFonts w:ascii="华文细黑" w:hAnsi="Arial" w:eastAsia="华文细黑"/>
      <w:b/>
      <w:sz w:val="44"/>
      <w:lang w:val="en-US" w:eastAsia="zh-CN"/>
    </w:rPr>
  </w:style>
  <w:style w:type="character" w:customStyle="1" w:styleId="682">
    <w:name w:val="正文缩进   技术 Char"/>
    <w:link w:val="683"/>
    <w:qFormat/>
    <w:uiPriority w:val="0"/>
    <w:rPr>
      <w:rFonts w:ascii="宋体" w:hAnsi="宋体" w:eastAsia="宋体"/>
      <w:color w:val="0000FF"/>
      <w:kern w:val="2"/>
      <w:sz w:val="21"/>
      <w:lang w:val="en-US" w:eastAsia="zh-CN" w:bidi="ar-SA"/>
    </w:rPr>
  </w:style>
  <w:style w:type="paragraph" w:customStyle="1" w:styleId="683">
    <w:name w:val="正文缩进   技术"/>
    <w:basedOn w:val="21"/>
    <w:link w:val="682"/>
    <w:qFormat/>
    <w:uiPriority w:val="0"/>
    <w:pPr>
      <w:spacing w:line="400" w:lineRule="exact"/>
      <w:jc w:val="both"/>
    </w:pPr>
    <w:rPr>
      <w:rFonts w:ascii="宋体" w:hAnsi="宋体" w:eastAsia="宋体"/>
      <w:color w:val="0000FF"/>
      <w:sz w:val="21"/>
    </w:rPr>
  </w:style>
  <w:style w:type="character" w:customStyle="1" w:styleId="684">
    <w:name w:val="Char Char16"/>
    <w:qFormat/>
    <w:uiPriority w:val="0"/>
    <w:rPr>
      <w:rFonts w:eastAsia="宋体"/>
      <w:b/>
      <w:sz w:val="24"/>
      <w:lang w:val="en-US" w:eastAsia="zh-CN"/>
    </w:rPr>
  </w:style>
  <w:style w:type="character" w:customStyle="1" w:styleId="685">
    <w:name w:val="批注框文本 Char"/>
    <w:link w:val="54"/>
    <w:qFormat/>
    <w:uiPriority w:val="0"/>
    <w:rPr>
      <w:rFonts w:eastAsia="宋体"/>
      <w:kern w:val="2"/>
      <w:sz w:val="18"/>
      <w:lang w:val="en-US" w:eastAsia="zh-CN" w:bidi="ar-SA"/>
    </w:rPr>
  </w:style>
  <w:style w:type="character" w:customStyle="1" w:styleId="686">
    <w:name w:val="文档结构图 Char"/>
    <w:link w:val="26"/>
    <w:qFormat/>
    <w:uiPriority w:val="0"/>
    <w:rPr>
      <w:rFonts w:eastAsia="宋体"/>
      <w:kern w:val="2"/>
      <w:sz w:val="24"/>
      <w:lang w:val="en-US" w:eastAsia="zh-CN" w:bidi="ar-SA"/>
    </w:rPr>
  </w:style>
  <w:style w:type="character" w:customStyle="1" w:styleId="687">
    <w:name w:val="样式 标题 3 Char"/>
    <w:link w:val="688"/>
    <w:qFormat/>
    <w:uiPriority w:val="0"/>
    <w:rPr>
      <w:rFonts w:ascii="Arial" w:hAnsi="Arial"/>
      <w:b/>
      <w:kern w:val="2"/>
      <w:sz w:val="24"/>
      <w:lang w:bidi="ar-SA"/>
    </w:rPr>
  </w:style>
  <w:style w:type="paragraph" w:customStyle="1" w:styleId="688">
    <w:name w:val="样式 标题 3"/>
    <w:basedOn w:val="4"/>
    <w:link w:val="687"/>
    <w:qFormat/>
    <w:uiPriority w:val="0"/>
    <w:pPr>
      <w:numPr>
        <w:ilvl w:val="0"/>
        <w:numId w:val="0"/>
      </w:numPr>
      <w:spacing w:before="260" w:after="260" w:line="240" w:lineRule="auto"/>
    </w:pPr>
    <w:rPr>
      <w:rFonts w:ascii="Arial" w:hAnsi="Arial"/>
      <w:bCs w:val="0"/>
      <w:szCs w:val="20"/>
    </w:rPr>
  </w:style>
  <w:style w:type="character" w:customStyle="1" w:styleId="689">
    <w:name w:val="表格文本 Char"/>
    <w:link w:val="567"/>
    <w:qFormat/>
    <w:uiPriority w:val="0"/>
    <w:rPr>
      <w:rFonts w:ascii="Arial" w:hAnsi="Arial" w:eastAsia="宋体" w:cs="Arial"/>
      <w:snapToGrid w:val="0"/>
      <w:color w:val="000000"/>
      <w:sz w:val="21"/>
      <w:lang w:val="en-US" w:eastAsia="zh-CN" w:bidi="ar-SA"/>
    </w:rPr>
  </w:style>
  <w:style w:type="character" w:customStyle="1" w:styleId="690">
    <w:name w:val="应答文本 Char Char"/>
    <w:link w:val="691"/>
    <w:qFormat/>
    <w:uiPriority w:val="0"/>
    <w:rPr>
      <w:rFonts w:ascii="宋体" w:hAnsi="宋体"/>
      <w:b/>
      <w:snapToGrid w:val="0"/>
      <w:spacing w:val="10"/>
      <w:sz w:val="21"/>
      <w:lang w:bidi="ar-SA"/>
    </w:rPr>
  </w:style>
  <w:style w:type="paragraph" w:customStyle="1" w:styleId="691">
    <w:name w:val="应答文本"/>
    <w:basedOn w:val="1"/>
    <w:link w:val="690"/>
    <w:qFormat/>
    <w:uiPriority w:val="0"/>
    <w:pPr>
      <w:adjustRightInd w:val="0"/>
      <w:spacing w:line="400" w:lineRule="exact"/>
      <w:ind w:left="421" w:leftChars="172" w:right="100" w:rightChars="100" w:hanging="60" w:hangingChars="26"/>
    </w:pPr>
    <w:rPr>
      <w:rFonts w:ascii="宋体" w:hAnsi="宋体"/>
      <w:b/>
      <w:snapToGrid w:val="0"/>
      <w:spacing w:val="10"/>
      <w:kern w:val="0"/>
      <w:sz w:val="21"/>
      <w:lang w:val="zh-CN"/>
    </w:rPr>
  </w:style>
  <w:style w:type="character" w:customStyle="1" w:styleId="692">
    <w:name w:val="unnamed11"/>
    <w:qFormat/>
    <w:uiPriority w:val="0"/>
    <w:rPr>
      <w:rFonts w:hint="eastAsia" w:ascii="宋体" w:hAnsi="宋体" w:eastAsia="宋体"/>
      <w:sz w:val="21"/>
    </w:rPr>
  </w:style>
  <w:style w:type="character" w:customStyle="1" w:styleId="693">
    <w:name w:val="Char Char9"/>
    <w:qFormat/>
    <w:uiPriority w:val="0"/>
    <w:rPr>
      <w:rFonts w:eastAsia="宋体"/>
      <w:kern w:val="2"/>
      <w:sz w:val="21"/>
      <w:lang w:val="en-US" w:eastAsia="zh-CN"/>
    </w:rPr>
  </w:style>
  <w:style w:type="character" w:customStyle="1" w:styleId="694">
    <w:name w:val="tt1"/>
    <w:qFormat/>
    <w:uiPriority w:val="0"/>
    <w:rPr>
      <w:rFonts w:hint="default" w:ascii="Arial" w:hAnsi="Arial"/>
      <w:color w:val="000000"/>
      <w:sz w:val="22"/>
    </w:rPr>
  </w:style>
  <w:style w:type="character" w:customStyle="1" w:styleId="695">
    <w:name w:val="Char Char12"/>
    <w:qFormat/>
    <w:uiPriority w:val="0"/>
    <w:rPr>
      <w:rFonts w:eastAsia="仿宋_GB2312"/>
      <w:kern w:val="2"/>
      <w:sz w:val="32"/>
    </w:rPr>
  </w:style>
  <w:style w:type="character" w:customStyle="1" w:styleId="696">
    <w:name w:val="样式 正文首行缩进2 Char"/>
    <w:link w:val="697"/>
    <w:qFormat/>
    <w:uiPriority w:val="0"/>
    <w:rPr>
      <w:rFonts w:ascii="Arial" w:hAnsi="Arial"/>
      <w:kern w:val="24"/>
      <w:sz w:val="21"/>
      <w:lang w:val="zh-CN" w:eastAsia="zh-CN"/>
    </w:rPr>
  </w:style>
  <w:style w:type="paragraph" w:customStyle="1" w:styleId="697">
    <w:name w:val="样式 正文首行缩进2"/>
    <w:basedOn w:val="1"/>
    <w:link w:val="696"/>
    <w:qFormat/>
    <w:uiPriority w:val="0"/>
    <w:pPr>
      <w:tabs>
        <w:tab w:val="left" w:pos="432"/>
        <w:tab w:val="left" w:pos="1080"/>
      </w:tabs>
      <w:spacing w:line="400" w:lineRule="exact"/>
      <w:ind w:left="432" w:hanging="432"/>
    </w:pPr>
    <w:rPr>
      <w:rFonts w:ascii="Arial" w:hAnsi="Arial"/>
      <w:kern w:val="24"/>
      <w:sz w:val="21"/>
      <w:lang w:val="zh-CN"/>
    </w:rPr>
  </w:style>
  <w:style w:type="character" w:customStyle="1" w:styleId="698">
    <w:name w:val="ft-hanggao1"/>
    <w:qFormat/>
    <w:uiPriority w:val="0"/>
    <w:rPr>
      <w:color w:val="000000"/>
      <w:sz w:val="18"/>
    </w:rPr>
  </w:style>
  <w:style w:type="character" w:customStyle="1" w:styleId="699">
    <w:name w:val="日期 Char"/>
    <w:link w:val="50"/>
    <w:qFormat/>
    <w:uiPriority w:val="0"/>
    <w:rPr>
      <w:rFonts w:ascii="宋体" w:hAnsi="宋体" w:eastAsia="宋体"/>
      <w:sz w:val="24"/>
      <w:lang w:val="en-US" w:eastAsia="zh-CN" w:bidi="ar-SA"/>
    </w:rPr>
  </w:style>
  <w:style w:type="character" w:customStyle="1" w:styleId="700">
    <w:name w:val="页脚 Char"/>
    <w:link w:val="55"/>
    <w:qFormat/>
    <w:uiPriority w:val="99"/>
    <w:rPr>
      <w:rFonts w:eastAsia="宋体"/>
      <w:kern w:val="2"/>
      <w:sz w:val="18"/>
      <w:lang w:val="en-US" w:eastAsia="zh-CN" w:bidi="ar-SA"/>
    </w:rPr>
  </w:style>
  <w:style w:type="character" w:customStyle="1" w:styleId="701">
    <w:name w:val="批注主题 Char"/>
    <w:link w:val="85"/>
    <w:qFormat/>
    <w:uiPriority w:val="0"/>
    <w:rPr>
      <w:rFonts w:eastAsia="宋体"/>
      <w:b/>
      <w:kern w:val="2"/>
      <w:sz w:val="24"/>
      <w:lang w:val="en-US" w:eastAsia="zh-CN" w:bidi="ar-SA"/>
    </w:rPr>
  </w:style>
  <w:style w:type="character" w:customStyle="1" w:styleId="702">
    <w:name w:val="Char Char14"/>
    <w:qFormat/>
    <w:uiPriority w:val="0"/>
    <w:rPr>
      <w:rFonts w:ascii="Arial" w:hAnsi="Arial" w:eastAsia="黑体"/>
      <w:sz w:val="21"/>
      <w:lang w:val="en-US" w:eastAsia="zh-CN"/>
    </w:rPr>
  </w:style>
  <w:style w:type="character" w:customStyle="1" w:styleId="703">
    <w:name w:val="Char Char18"/>
    <w:qFormat/>
    <w:uiPriority w:val="0"/>
    <w:rPr>
      <w:rFonts w:eastAsia="仿宋_GB2312"/>
      <w:kern w:val="2"/>
      <w:sz w:val="32"/>
      <w:lang w:val="en-US" w:eastAsia="zh-CN"/>
    </w:rPr>
  </w:style>
  <w:style w:type="character" w:customStyle="1" w:styleId="704">
    <w:name w:val="样式 1 + (符号) Times New Roman 首行缩进:  2 字符 行距: 固定值 24 磅 Char"/>
    <w:link w:val="705"/>
    <w:qFormat/>
    <w:uiPriority w:val="0"/>
    <w:rPr>
      <w:rFonts w:ascii="宋体" w:eastAsia="宋体"/>
      <w:kern w:val="2"/>
      <w:sz w:val="28"/>
      <w:lang w:val="en-US" w:eastAsia="zh-CN" w:bidi="ar-SA"/>
    </w:rPr>
  </w:style>
  <w:style w:type="paragraph" w:customStyle="1" w:styleId="705">
    <w:name w:val="样式 1 + (符号) Times New Roman 首行缩进:  2 字符 行距: 固定值 24 磅"/>
    <w:basedOn w:val="3"/>
    <w:link w:val="704"/>
    <w:qFormat/>
    <w:uiPriority w:val="0"/>
    <w:pPr>
      <w:keepNext w:val="0"/>
      <w:keepLines w:val="0"/>
      <w:numPr>
        <w:numId w:val="0"/>
      </w:numPr>
      <w:autoSpaceDE/>
      <w:spacing w:before="0" w:after="0" w:line="480" w:lineRule="exact"/>
      <w:ind w:firstLine="590" w:firstLineChars="200"/>
      <w:outlineLvl w:val="9"/>
    </w:pPr>
    <w:rPr>
      <w:rFonts w:ascii="宋体" w:hAnsi="Times New Roman" w:eastAsia="宋体"/>
      <w:kern w:val="2"/>
      <w:lang w:val="en-US"/>
    </w:rPr>
  </w:style>
  <w:style w:type="character" w:customStyle="1" w:styleId="706">
    <w:name w:val="纯文本 Char1"/>
    <w:link w:val="45"/>
    <w:qFormat/>
    <w:uiPriority w:val="0"/>
    <w:rPr>
      <w:rFonts w:ascii="宋体" w:hAnsi="Courier New" w:eastAsia="宋体"/>
      <w:kern w:val="2"/>
      <w:sz w:val="21"/>
      <w:lang w:val="en-US" w:eastAsia="zh-CN" w:bidi="ar-SA"/>
    </w:rPr>
  </w:style>
  <w:style w:type="character" w:customStyle="1" w:styleId="707">
    <w:name w:val="正文文本 2 Char"/>
    <w:link w:val="76"/>
    <w:qFormat/>
    <w:uiPriority w:val="0"/>
    <w:rPr>
      <w:rFonts w:eastAsia="宋体"/>
      <w:kern w:val="2"/>
      <w:sz w:val="24"/>
      <w:lang w:val="en-US" w:eastAsia="zh-CN" w:bidi="ar-SA"/>
    </w:rPr>
  </w:style>
  <w:style w:type="character" w:customStyle="1" w:styleId="708">
    <w:name w:val="页眉 Char"/>
    <w:link w:val="57"/>
    <w:qFormat/>
    <w:uiPriority w:val="0"/>
    <w:rPr>
      <w:rFonts w:eastAsia="宋体"/>
      <w:kern w:val="2"/>
      <w:sz w:val="21"/>
      <w:lang w:val="en-US" w:eastAsia="zh-CN" w:bidi="ar-SA"/>
    </w:rPr>
  </w:style>
  <w:style w:type="character" w:customStyle="1" w:styleId="709">
    <w:name w:val="文字 Char"/>
    <w:link w:val="710"/>
    <w:qFormat/>
    <w:uiPriority w:val="0"/>
    <w:rPr>
      <w:rFonts w:ascii="宋体" w:eastAsia="宋体"/>
      <w:kern w:val="2"/>
      <w:sz w:val="28"/>
      <w:lang w:val="en-US" w:eastAsia="zh-CN" w:bidi="ar-SA"/>
    </w:rPr>
  </w:style>
  <w:style w:type="paragraph" w:customStyle="1" w:styleId="710">
    <w:name w:val="文字"/>
    <w:basedOn w:val="1"/>
    <w:link w:val="709"/>
    <w:qFormat/>
    <w:uiPriority w:val="0"/>
    <w:pPr>
      <w:tabs>
        <w:tab w:val="left" w:pos="8520"/>
      </w:tabs>
      <w:spacing w:line="312" w:lineRule="auto"/>
      <w:ind w:right="-210" w:firstLine="556"/>
    </w:pPr>
    <w:rPr>
      <w:rFonts w:ascii="宋体"/>
      <w:sz w:val="28"/>
    </w:rPr>
  </w:style>
  <w:style w:type="character" w:customStyle="1" w:styleId="711">
    <w:name w:val="招标项目符号2 Char Char"/>
    <w:link w:val="712"/>
    <w:qFormat/>
    <w:uiPriority w:val="0"/>
    <w:rPr>
      <w:rFonts w:ascii="宋体" w:hAnsi="宋体"/>
      <w:kern w:val="2"/>
      <w:sz w:val="21"/>
      <w:lang w:val="zh-CN" w:eastAsia="zh-CN"/>
    </w:rPr>
  </w:style>
  <w:style w:type="paragraph" w:customStyle="1" w:styleId="712">
    <w:name w:val="招标项目符号2"/>
    <w:basedOn w:val="652"/>
    <w:link w:val="711"/>
    <w:qFormat/>
    <w:uiPriority w:val="0"/>
    <w:pPr>
      <w:numPr>
        <w:numId w:val="0"/>
      </w:numPr>
      <w:tabs>
        <w:tab w:val="left" w:pos="1486"/>
        <w:tab w:val="clear" w:pos="540"/>
      </w:tabs>
      <w:ind w:left="840" w:right="0" w:hanging="420"/>
    </w:pPr>
  </w:style>
  <w:style w:type="character" w:customStyle="1" w:styleId="713">
    <w:name w:val="even Char Char"/>
    <w:qFormat/>
    <w:uiPriority w:val="0"/>
    <w:rPr>
      <w:kern w:val="2"/>
      <w:sz w:val="18"/>
    </w:rPr>
  </w:style>
  <w:style w:type="character" w:customStyle="1" w:styleId="714">
    <w:name w:val="款，1 Char Char"/>
    <w:qFormat/>
    <w:uiPriority w:val="0"/>
    <w:rPr>
      <w:b/>
      <w:sz w:val="28"/>
    </w:rPr>
  </w:style>
  <w:style w:type="character" w:customStyle="1" w:styleId="715">
    <w:name w:val="样式 标题 2 + Char"/>
    <w:link w:val="716"/>
    <w:qFormat/>
    <w:uiPriority w:val="0"/>
    <w:rPr>
      <w:rFonts w:ascii="Arial" w:hAnsi="Arial"/>
      <w:b/>
      <w:sz w:val="21"/>
      <w:lang w:bidi="ar-SA"/>
    </w:rPr>
  </w:style>
  <w:style w:type="paragraph" w:customStyle="1" w:styleId="716">
    <w:name w:val="样式 标题 2 +"/>
    <w:basedOn w:val="4"/>
    <w:link w:val="715"/>
    <w:qFormat/>
    <w:uiPriority w:val="0"/>
    <w:pPr>
      <w:numPr>
        <w:ilvl w:val="0"/>
        <w:numId w:val="0"/>
      </w:numPr>
      <w:spacing w:before="260" w:after="260"/>
    </w:pPr>
    <w:rPr>
      <w:rFonts w:ascii="Arial" w:hAnsi="Arial"/>
      <w:bCs w:val="0"/>
      <w:kern w:val="0"/>
      <w:sz w:val="21"/>
      <w:szCs w:val="20"/>
    </w:rPr>
  </w:style>
  <w:style w:type="character" w:customStyle="1" w:styleId="717">
    <w:name w:val="正文文本 3 Char"/>
    <w:link w:val="31"/>
    <w:qFormat/>
    <w:uiPriority w:val="0"/>
    <w:rPr>
      <w:rFonts w:eastAsia="宋体"/>
      <w:kern w:val="2"/>
      <w:sz w:val="16"/>
      <w:lang w:val="en-US" w:eastAsia="zh-CN" w:bidi="ar-SA"/>
    </w:rPr>
  </w:style>
  <w:style w:type="character" w:customStyle="1" w:styleId="718">
    <w:name w:val="样式 标题 44 dashd3dash4 dash1d131dash14 dash2d232dash2... Char"/>
    <w:link w:val="719"/>
    <w:qFormat/>
    <w:uiPriority w:val="0"/>
    <w:rPr>
      <w:rFonts w:ascii="Arial" w:hAnsi="Arial" w:eastAsia="黑体"/>
      <w:b/>
      <w:color w:val="000000"/>
      <w:kern w:val="2"/>
      <w:sz w:val="24"/>
      <w:lang w:val="en-US" w:eastAsia="zh-CN" w:bidi="ar-SA"/>
    </w:rPr>
  </w:style>
  <w:style w:type="paragraph" w:customStyle="1" w:styleId="719">
    <w:name w:val="样式 标题 44 dashd3dash4 dash1d131dash14 dash2d232dash2..."/>
    <w:basedOn w:val="6"/>
    <w:link w:val="718"/>
    <w:qFormat/>
    <w:uiPriority w:val="0"/>
    <w:pPr>
      <w:numPr>
        <w:ilvl w:val="0"/>
        <w:numId w:val="0"/>
      </w:numPr>
      <w:tabs>
        <w:tab w:val="left" w:pos="864"/>
      </w:tabs>
      <w:spacing w:before="280" w:after="290" w:line="372" w:lineRule="auto"/>
      <w:ind w:left="864" w:hanging="864"/>
    </w:pPr>
    <w:rPr>
      <w:rFonts w:ascii="Arial" w:hAnsi="Arial" w:eastAsia="黑体"/>
      <w:b/>
      <w:color w:val="000000"/>
      <w:sz w:val="24"/>
      <w:szCs w:val="20"/>
      <w:lang w:val="en-US"/>
    </w:rPr>
  </w:style>
  <w:style w:type="character" w:customStyle="1" w:styleId="720">
    <w:name w:val="text4"/>
    <w:basedOn w:val="92"/>
    <w:qFormat/>
    <w:uiPriority w:val="0"/>
  </w:style>
  <w:style w:type="character" w:customStyle="1" w:styleId="721">
    <w:name w:val="Char Char11"/>
    <w:qFormat/>
    <w:uiPriority w:val="0"/>
    <w:rPr>
      <w:rFonts w:ascii="宋体" w:hAnsi="宋体" w:eastAsia="宋体"/>
      <w:kern w:val="2"/>
      <w:sz w:val="24"/>
      <w:lang w:val="en-US" w:eastAsia="zh-CN"/>
    </w:rPr>
  </w:style>
  <w:style w:type="character" w:customStyle="1" w:styleId="722">
    <w:name w:val="txt"/>
    <w:basedOn w:val="92"/>
    <w:qFormat/>
    <w:uiPriority w:val="0"/>
  </w:style>
  <w:style w:type="character" w:customStyle="1" w:styleId="723">
    <w:name w:val="Char Char13"/>
    <w:qFormat/>
    <w:uiPriority w:val="0"/>
    <w:rPr>
      <w:b/>
      <w:kern w:val="2"/>
      <w:sz w:val="21"/>
    </w:rPr>
  </w:style>
  <w:style w:type="character" w:customStyle="1" w:styleId="724">
    <w:name w:val="正文文本 3 Char1"/>
    <w:qFormat/>
    <w:uiPriority w:val="0"/>
    <w:rPr>
      <w:rFonts w:ascii="宋体"/>
      <w:kern w:val="2"/>
      <w:sz w:val="24"/>
    </w:rPr>
  </w:style>
  <w:style w:type="paragraph" w:customStyle="1" w:styleId="725">
    <w:name w:val="font18"/>
    <w:basedOn w:val="1"/>
    <w:qFormat/>
    <w:uiPriority w:val="0"/>
    <w:pPr>
      <w:widowControl/>
      <w:spacing w:before="100" w:beforeAutospacing="1" w:after="100" w:afterAutospacing="1" w:line="240" w:lineRule="auto"/>
    </w:pPr>
    <w:rPr>
      <w:rFonts w:ascii="宋体" w:hAnsi="宋体"/>
      <w:color w:val="008000"/>
      <w:kern w:val="0"/>
      <w:sz w:val="20"/>
    </w:rPr>
  </w:style>
  <w:style w:type="paragraph" w:customStyle="1" w:styleId="726">
    <w:name w:val="xl1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b/>
      <w:color w:val="FF0000"/>
      <w:kern w:val="0"/>
      <w:sz w:val="20"/>
    </w:rPr>
  </w:style>
  <w:style w:type="paragraph" w:customStyle="1" w:styleId="727">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i/>
      <w:kern w:val="0"/>
      <w:sz w:val="20"/>
    </w:rPr>
  </w:style>
  <w:style w:type="paragraph" w:customStyle="1" w:styleId="728">
    <w:name w:val="Char2 Char Char Char Char Char Char"/>
    <w:basedOn w:val="1"/>
    <w:qFormat/>
    <w:uiPriority w:val="0"/>
    <w:pPr>
      <w:adjustRightInd w:val="0"/>
    </w:pPr>
    <w:rPr>
      <w:kern w:val="0"/>
    </w:rPr>
  </w:style>
  <w:style w:type="paragraph" w:customStyle="1" w:styleId="729">
    <w:name w:val="Table Cell"/>
    <w:basedOn w:val="1"/>
    <w:qFormat/>
    <w:uiPriority w:val="0"/>
    <w:pPr>
      <w:keepLines/>
      <w:widowControl/>
      <w:suppressAutoHyphens/>
      <w:spacing w:before="60" w:after="60" w:line="240" w:lineRule="auto"/>
      <w:ind w:right="113"/>
    </w:pPr>
    <w:rPr>
      <w:kern w:val="0"/>
      <w:sz w:val="20"/>
      <w:lang w:val="en-AU" w:eastAsia="en-US"/>
    </w:rPr>
  </w:style>
  <w:style w:type="paragraph" w:customStyle="1" w:styleId="73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b/>
      <w:color w:val="000000"/>
      <w:kern w:val="0"/>
      <w:sz w:val="20"/>
    </w:rPr>
  </w:style>
  <w:style w:type="paragraph" w:customStyle="1" w:styleId="731">
    <w:name w:val="xl2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FF00"/>
      <w:kern w:val="0"/>
      <w:sz w:val="20"/>
    </w:rPr>
  </w:style>
  <w:style w:type="paragraph" w:customStyle="1" w:styleId="732">
    <w:name w:val="招标标题1"/>
    <w:basedOn w:val="3"/>
    <w:next w:val="654"/>
    <w:qFormat/>
    <w:uiPriority w:val="0"/>
    <w:pPr>
      <w:numPr>
        <w:numId w:val="0"/>
      </w:numPr>
      <w:tabs>
        <w:tab w:val="left" w:pos="425"/>
        <w:tab w:val="clear" w:pos="432"/>
      </w:tabs>
      <w:autoSpaceDE/>
      <w:spacing w:before="240" w:after="180" w:line="240" w:lineRule="auto"/>
      <w:ind w:left="425" w:hanging="425"/>
    </w:pPr>
    <w:rPr>
      <w:rFonts w:ascii="Times New Roman" w:hAnsi="Times New Roman"/>
      <w:sz w:val="32"/>
    </w:rPr>
  </w:style>
  <w:style w:type="paragraph" w:customStyle="1" w:styleId="733">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rPr>
  </w:style>
  <w:style w:type="paragraph" w:customStyle="1" w:styleId="734">
    <w:name w:val="Char Char Char Char Char Char1 Char"/>
    <w:basedOn w:val="1"/>
    <w:qFormat/>
    <w:uiPriority w:val="0"/>
    <w:pPr>
      <w:widowControl/>
      <w:spacing w:after="160" w:line="240" w:lineRule="exact"/>
    </w:pPr>
    <w:rPr>
      <w:rFonts w:ascii="Verdana" w:hAnsi="Verdana"/>
      <w:kern w:val="0"/>
      <w:sz w:val="21"/>
      <w:lang w:eastAsia="en-US"/>
    </w:rPr>
  </w:style>
  <w:style w:type="paragraph" w:customStyle="1" w:styleId="735">
    <w:name w:val="xl2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00FF"/>
      <w:kern w:val="0"/>
      <w:sz w:val="20"/>
    </w:rPr>
  </w:style>
  <w:style w:type="paragraph" w:customStyle="1" w:styleId="736">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kern w:val="0"/>
      <w:sz w:val="20"/>
    </w:rPr>
  </w:style>
  <w:style w:type="paragraph" w:customStyle="1" w:styleId="737">
    <w:name w:val="样式 样式 正文首行缩进 + 首行缩进:  2 字符 段前: 5 磅 段后: 5 磅"/>
    <w:basedOn w:val="738"/>
    <w:qFormat/>
    <w:uiPriority w:val="0"/>
  </w:style>
  <w:style w:type="paragraph" w:customStyle="1" w:styleId="738">
    <w:name w:val="样式 正文首行缩进"/>
    <w:basedOn w:val="1"/>
    <w:qFormat/>
    <w:uiPriority w:val="0"/>
    <w:pPr>
      <w:spacing w:line="400" w:lineRule="exact"/>
      <w:ind w:firstLine="200" w:firstLineChars="200"/>
    </w:pPr>
    <w:rPr>
      <w:rFonts w:ascii="宋体" w:hAnsi="宋体"/>
      <w:kern w:val="24"/>
      <w:sz w:val="21"/>
    </w:rPr>
  </w:style>
  <w:style w:type="paragraph" w:customStyle="1" w:styleId="739">
    <w:name w:val="xl1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color w:val="FF0000"/>
      <w:kern w:val="0"/>
      <w:sz w:val="20"/>
    </w:rPr>
  </w:style>
  <w:style w:type="paragraph" w:customStyle="1" w:styleId="740">
    <w:name w:val="投标－标题6"/>
    <w:basedOn w:val="741"/>
    <w:next w:val="1"/>
    <w:qFormat/>
    <w:uiPriority w:val="0"/>
    <w:pPr>
      <w:tabs>
        <w:tab w:val="left" w:pos="425"/>
        <w:tab w:val="left" w:pos="567"/>
        <w:tab w:val="left" w:pos="709"/>
        <w:tab w:val="left" w:pos="772"/>
        <w:tab w:val="left" w:pos="851"/>
        <w:tab w:val="left" w:pos="992"/>
        <w:tab w:val="left" w:pos="1006"/>
        <w:tab w:val="left" w:pos="1134"/>
        <w:tab w:val="left" w:pos="1553"/>
      </w:tabs>
      <w:ind w:left="1152" w:hanging="1152"/>
      <w:outlineLvl w:val="5"/>
    </w:pPr>
  </w:style>
  <w:style w:type="paragraph" w:customStyle="1" w:styleId="741">
    <w:name w:val="投标—标题5"/>
    <w:basedOn w:val="742"/>
    <w:next w:val="1"/>
    <w:link w:val="1157"/>
    <w:qFormat/>
    <w:uiPriority w:val="0"/>
    <w:pPr>
      <w:tabs>
        <w:tab w:val="left" w:pos="425"/>
        <w:tab w:val="left" w:pos="567"/>
        <w:tab w:val="left" w:pos="709"/>
        <w:tab w:val="left" w:pos="772"/>
        <w:tab w:val="left" w:pos="851"/>
        <w:tab w:val="left" w:pos="992"/>
        <w:tab w:val="left" w:pos="1006"/>
        <w:tab w:val="left" w:pos="1553"/>
      </w:tabs>
      <w:ind w:left="1008" w:hanging="1008"/>
      <w:outlineLvl w:val="4"/>
    </w:pPr>
  </w:style>
  <w:style w:type="paragraph" w:customStyle="1" w:styleId="742">
    <w:name w:val="投标—标题4"/>
    <w:basedOn w:val="743"/>
    <w:next w:val="1"/>
    <w:link w:val="1156"/>
    <w:qFormat/>
    <w:uiPriority w:val="0"/>
    <w:pPr>
      <w:tabs>
        <w:tab w:val="left" w:pos="425"/>
        <w:tab w:val="left" w:pos="567"/>
        <w:tab w:val="left" w:pos="709"/>
        <w:tab w:val="left" w:pos="772"/>
        <w:tab w:val="left" w:pos="851"/>
        <w:tab w:val="left" w:pos="1006"/>
        <w:tab w:val="left" w:pos="1553"/>
      </w:tabs>
      <w:spacing w:before="60"/>
      <w:ind w:left="1553" w:hanging="864"/>
      <w:outlineLvl w:val="3"/>
    </w:pPr>
    <w:rPr>
      <w:sz w:val="24"/>
    </w:rPr>
  </w:style>
  <w:style w:type="paragraph" w:customStyle="1" w:styleId="743">
    <w:name w:val="投标—标题3"/>
    <w:basedOn w:val="744"/>
    <w:next w:val="1"/>
    <w:qFormat/>
    <w:uiPriority w:val="0"/>
    <w:pPr>
      <w:tabs>
        <w:tab w:val="left" w:pos="425"/>
        <w:tab w:val="left" w:pos="567"/>
        <w:tab w:val="left" w:pos="709"/>
        <w:tab w:val="left" w:pos="772"/>
        <w:tab w:val="left" w:pos="1006"/>
      </w:tabs>
      <w:ind w:left="1006" w:hanging="720"/>
      <w:outlineLvl w:val="2"/>
    </w:pPr>
    <w:rPr>
      <w:sz w:val="28"/>
    </w:rPr>
  </w:style>
  <w:style w:type="paragraph" w:customStyle="1" w:styleId="744">
    <w:name w:val="投标—标题2"/>
    <w:basedOn w:val="745"/>
    <w:next w:val="1"/>
    <w:qFormat/>
    <w:uiPriority w:val="0"/>
    <w:pPr>
      <w:keepNext w:val="0"/>
      <w:keepLines w:val="0"/>
      <w:numPr>
        <w:numId w:val="0"/>
      </w:numPr>
      <w:tabs>
        <w:tab w:val="left" w:pos="425"/>
        <w:tab w:val="left" w:pos="567"/>
        <w:tab w:val="left" w:pos="772"/>
      </w:tabs>
      <w:adjustRightInd w:val="0"/>
      <w:spacing w:before="120" w:after="120"/>
      <w:ind w:left="772" w:hanging="576"/>
      <w:outlineLvl w:val="1"/>
    </w:pPr>
    <w:rPr>
      <w:sz w:val="30"/>
    </w:rPr>
  </w:style>
  <w:style w:type="paragraph" w:customStyle="1" w:styleId="745">
    <w:name w:val="投标—标题1"/>
    <w:basedOn w:val="3"/>
    <w:next w:val="1"/>
    <w:qFormat/>
    <w:uiPriority w:val="0"/>
    <w:pPr>
      <w:tabs>
        <w:tab w:val="left" w:pos="425"/>
        <w:tab w:val="clear" w:pos="432"/>
      </w:tabs>
      <w:autoSpaceDE/>
      <w:spacing w:before="240" w:after="180" w:line="240" w:lineRule="auto"/>
      <w:ind w:left="425" w:hanging="425"/>
    </w:pPr>
    <w:rPr>
      <w:rFonts w:ascii="Times New Roman" w:hAnsi="Times New Roman"/>
      <w:sz w:val="32"/>
    </w:rPr>
  </w:style>
  <w:style w:type="paragraph" w:customStyle="1" w:styleId="746">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9900"/>
      <w:kern w:val="0"/>
      <w:sz w:val="20"/>
    </w:rPr>
  </w:style>
  <w:style w:type="paragraph" w:customStyle="1" w:styleId="747">
    <w:name w:val="retrait3"/>
    <w:basedOn w:val="1"/>
    <w:qFormat/>
    <w:uiPriority w:val="0"/>
    <w:pPr>
      <w:widowControl/>
      <w:spacing w:before="20" w:after="20" w:line="240" w:lineRule="auto"/>
      <w:ind w:left="851"/>
    </w:pPr>
    <w:rPr>
      <w:rFonts w:ascii="Arial" w:hAnsi="Arial"/>
      <w:kern w:val="0"/>
      <w:lang w:val="en-GB"/>
    </w:rPr>
  </w:style>
  <w:style w:type="paragraph" w:customStyle="1" w:styleId="748">
    <w:name w:val="font22"/>
    <w:basedOn w:val="1"/>
    <w:qFormat/>
    <w:uiPriority w:val="0"/>
    <w:pPr>
      <w:widowControl/>
      <w:spacing w:before="100" w:beforeAutospacing="1" w:after="100" w:afterAutospacing="1" w:line="240" w:lineRule="auto"/>
    </w:pPr>
    <w:rPr>
      <w:color w:val="FF0000"/>
      <w:kern w:val="0"/>
      <w:sz w:val="20"/>
    </w:rPr>
  </w:style>
  <w:style w:type="paragraph" w:customStyle="1" w:styleId="749">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color w:val="008000"/>
      <w:kern w:val="0"/>
      <w:sz w:val="20"/>
    </w:rPr>
  </w:style>
  <w:style w:type="paragraph" w:customStyle="1" w:styleId="750">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8000"/>
      <w:kern w:val="0"/>
      <w:sz w:val="20"/>
    </w:rPr>
  </w:style>
  <w:style w:type="paragraph" w:customStyle="1" w:styleId="751">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color w:val="FF0000"/>
      <w:kern w:val="0"/>
      <w:sz w:val="20"/>
    </w:rPr>
  </w:style>
  <w:style w:type="paragraph" w:customStyle="1" w:styleId="752">
    <w:name w:val="Table Col Heading"/>
    <w:basedOn w:val="729"/>
    <w:qFormat/>
    <w:uiPriority w:val="0"/>
    <w:rPr>
      <w:b/>
    </w:rPr>
  </w:style>
  <w:style w:type="paragraph" w:customStyle="1" w:styleId="753">
    <w:name w:val="xl2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FF6600"/>
      <w:kern w:val="0"/>
      <w:sz w:val="20"/>
    </w:rPr>
  </w:style>
  <w:style w:type="paragraph" w:customStyle="1" w:styleId="754">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FF00"/>
      <w:kern w:val="0"/>
      <w:sz w:val="20"/>
    </w:rPr>
  </w:style>
  <w:style w:type="paragraph" w:customStyle="1" w:styleId="755">
    <w:name w:val="font32"/>
    <w:basedOn w:val="1"/>
    <w:qFormat/>
    <w:uiPriority w:val="0"/>
    <w:pPr>
      <w:widowControl/>
      <w:spacing w:before="100" w:beforeAutospacing="1" w:after="100" w:afterAutospacing="1" w:line="240" w:lineRule="auto"/>
    </w:pPr>
    <w:rPr>
      <w:rFonts w:ascii="宋体" w:hAnsi="宋体"/>
      <w:color w:val="000000"/>
      <w:kern w:val="0"/>
      <w:sz w:val="20"/>
    </w:rPr>
  </w:style>
  <w:style w:type="paragraph" w:customStyle="1" w:styleId="756">
    <w:name w:val="需求书2"/>
    <w:basedOn w:val="1"/>
    <w:qFormat/>
    <w:uiPriority w:val="0"/>
    <w:pPr>
      <w:ind w:left="840" w:hanging="840" w:hangingChars="350"/>
    </w:pPr>
  </w:style>
  <w:style w:type="paragraph" w:customStyle="1" w:styleId="757">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00FF"/>
      <w:kern w:val="0"/>
      <w:sz w:val="20"/>
    </w:rPr>
  </w:style>
  <w:style w:type="paragraph" w:customStyle="1" w:styleId="758">
    <w:name w:val="xiao b"/>
    <w:basedOn w:val="1"/>
    <w:qFormat/>
    <w:uiPriority w:val="0"/>
    <w:pPr>
      <w:spacing w:line="240" w:lineRule="auto"/>
      <w:jc w:val="center"/>
    </w:pPr>
    <w:rPr>
      <w:rFonts w:eastAsia="黑体"/>
    </w:rPr>
  </w:style>
  <w:style w:type="paragraph" w:customStyle="1" w:styleId="759">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00FF"/>
      <w:kern w:val="0"/>
      <w:sz w:val="20"/>
    </w:rPr>
  </w:style>
  <w:style w:type="paragraph" w:customStyle="1" w:styleId="760">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800000"/>
      <w:kern w:val="0"/>
      <w:sz w:val="20"/>
    </w:rPr>
  </w:style>
  <w:style w:type="paragraph" w:customStyle="1" w:styleId="761">
    <w:name w:val="投标正文"/>
    <w:basedOn w:val="1"/>
    <w:qFormat/>
    <w:uiPriority w:val="0"/>
    <w:pPr>
      <w:spacing w:line="240" w:lineRule="auto"/>
    </w:pPr>
    <w:rPr>
      <w:kern w:val="0"/>
      <w:sz w:val="21"/>
    </w:rPr>
  </w:style>
  <w:style w:type="paragraph" w:customStyle="1" w:styleId="762">
    <w:name w:val="xl2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color w:val="0000FF"/>
      <w:kern w:val="0"/>
      <w:sz w:val="20"/>
    </w:rPr>
  </w:style>
  <w:style w:type="paragraph" w:customStyle="1" w:styleId="763">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CCFF"/>
      <w:kern w:val="0"/>
      <w:sz w:val="20"/>
    </w:rPr>
  </w:style>
  <w:style w:type="paragraph" w:customStyle="1" w:styleId="764">
    <w:name w:val="qian"/>
    <w:basedOn w:val="1"/>
    <w:qFormat/>
    <w:uiPriority w:val="0"/>
    <w:pPr>
      <w:tabs>
        <w:tab w:val="left" w:pos="425"/>
        <w:tab w:val="left" w:pos="4395"/>
      </w:tabs>
      <w:spacing w:line="240" w:lineRule="auto"/>
      <w:ind w:left="4" w:hanging="425"/>
    </w:pPr>
    <w:rPr>
      <w:sz w:val="21"/>
    </w:rPr>
  </w:style>
  <w:style w:type="paragraph" w:customStyle="1" w:styleId="765">
    <w:name w:val="xl2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00FF00"/>
      <w:kern w:val="0"/>
      <w:sz w:val="20"/>
    </w:rPr>
  </w:style>
  <w:style w:type="paragraph" w:customStyle="1" w:styleId="766">
    <w:name w:val="列表框1"/>
    <w:basedOn w:val="1"/>
    <w:next w:val="1"/>
    <w:link w:val="1255"/>
    <w:qFormat/>
    <w:uiPriority w:val="0"/>
    <w:pPr>
      <w:tabs>
        <w:tab w:val="left" w:pos="432"/>
        <w:tab w:val="left" w:pos="1779"/>
      </w:tabs>
      <w:adjustRightInd w:val="0"/>
      <w:snapToGrid w:val="0"/>
      <w:ind w:left="432" w:hanging="432"/>
    </w:pPr>
    <w:rPr>
      <w:rFonts w:ascii="宋体" w:hAnsi="宋体"/>
      <w:kern w:val="0"/>
      <w:sz w:val="21"/>
      <w:lang w:val="zh-CN"/>
    </w:rPr>
  </w:style>
  <w:style w:type="paragraph" w:customStyle="1" w:styleId="767">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00FF"/>
      <w:kern w:val="0"/>
      <w:sz w:val="20"/>
    </w:rPr>
  </w:style>
  <w:style w:type="paragraph" w:customStyle="1" w:styleId="768">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00FF"/>
      <w:kern w:val="0"/>
      <w:sz w:val="20"/>
    </w:rPr>
  </w:style>
  <w:style w:type="paragraph" w:customStyle="1" w:styleId="769">
    <w:name w:val="标题3"/>
    <w:basedOn w:val="3"/>
    <w:qFormat/>
    <w:uiPriority w:val="0"/>
    <w:pPr>
      <w:numPr>
        <w:numId w:val="0"/>
      </w:numPr>
      <w:autoSpaceDE/>
      <w:spacing w:before="156" w:beforeLines="50" w:after="0"/>
      <w:jc w:val="center"/>
    </w:pPr>
    <w:rPr>
      <w:rFonts w:ascii="宋体" w:hAnsi="Times New Roman" w:eastAsia="宋体"/>
      <w:b/>
      <w:sz w:val="24"/>
    </w:rPr>
  </w:style>
  <w:style w:type="paragraph" w:customStyle="1" w:styleId="770">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i/>
      <w:kern w:val="0"/>
      <w:sz w:val="20"/>
    </w:rPr>
  </w:style>
  <w:style w:type="paragraph" w:customStyle="1" w:styleId="771">
    <w:name w:val="font15"/>
    <w:basedOn w:val="1"/>
    <w:qFormat/>
    <w:uiPriority w:val="0"/>
    <w:pPr>
      <w:widowControl/>
      <w:spacing w:before="100" w:beforeAutospacing="1" w:after="100" w:afterAutospacing="1" w:line="240" w:lineRule="auto"/>
    </w:pPr>
    <w:rPr>
      <w:rFonts w:ascii="宋体" w:hAnsi="宋体"/>
      <w:color w:val="FF00FF"/>
      <w:kern w:val="0"/>
      <w:sz w:val="20"/>
    </w:rPr>
  </w:style>
  <w:style w:type="paragraph" w:customStyle="1" w:styleId="772">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6600"/>
      <w:kern w:val="0"/>
      <w:sz w:val="20"/>
    </w:rPr>
  </w:style>
  <w:style w:type="paragraph" w:customStyle="1" w:styleId="773">
    <w:name w:val="Plain Text1"/>
    <w:basedOn w:val="1"/>
    <w:qFormat/>
    <w:uiPriority w:val="0"/>
    <w:pPr>
      <w:adjustRightInd w:val="0"/>
      <w:spacing w:line="312" w:lineRule="atLeast"/>
      <w:textAlignment w:val="baseline"/>
    </w:pPr>
    <w:rPr>
      <w:rFonts w:ascii="宋体" w:hAnsi="Courier New"/>
      <w:kern w:val="0"/>
      <w:sz w:val="28"/>
    </w:rPr>
  </w:style>
  <w:style w:type="paragraph" w:customStyle="1" w:styleId="774">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FF9900"/>
      <w:kern w:val="0"/>
      <w:sz w:val="20"/>
    </w:rPr>
  </w:style>
  <w:style w:type="paragraph" w:customStyle="1" w:styleId="775">
    <w:name w:val="段"/>
    <w:qFormat/>
    <w:uiPriority w:val="0"/>
    <w:pPr>
      <w:autoSpaceDE w:val="0"/>
      <w:autoSpaceDN w:val="0"/>
      <w:spacing w:line="360" w:lineRule="auto"/>
      <w:ind w:left="709" w:firstLine="200" w:firstLineChars="200"/>
      <w:jc w:val="both"/>
    </w:pPr>
    <w:rPr>
      <w:rFonts w:ascii="宋体" w:hAnsi="Times New Roman" w:eastAsia="宋体" w:cs="Times New Roman"/>
      <w:sz w:val="21"/>
      <w:lang w:val="en-US" w:eastAsia="zh-CN" w:bidi="ar-SA"/>
    </w:rPr>
  </w:style>
  <w:style w:type="paragraph" w:customStyle="1" w:styleId="776">
    <w:name w:val="xl2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color w:val="FF00FF"/>
      <w:kern w:val="0"/>
      <w:sz w:val="20"/>
    </w:rPr>
  </w:style>
  <w:style w:type="paragraph" w:customStyle="1" w:styleId="777">
    <w:name w:val="font28"/>
    <w:basedOn w:val="1"/>
    <w:qFormat/>
    <w:uiPriority w:val="0"/>
    <w:pPr>
      <w:widowControl/>
      <w:spacing w:before="100" w:beforeAutospacing="1" w:after="100" w:afterAutospacing="1" w:line="240" w:lineRule="auto"/>
    </w:pPr>
    <w:rPr>
      <w:color w:val="00FF00"/>
      <w:kern w:val="0"/>
      <w:sz w:val="20"/>
    </w:rPr>
  </w:style>
  <w:style w:type="paragraph" w:customStyle="1" w:styleId="778">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0000"/>
      <w:kern w:val="0"/>
      <w:sz w:val="20"/>
    </w:rPr>
  </w:style>
  <w:style w:type="paragraph" w:customStyle="1" w:styleId="779">
    <w:name w:val="font31"/>
    <w:basedOn w:val="1"/>
    <w:qFormat/>
    <w:uiPriority w:val="0"/>
    <w:pPr>
      <w:widowControl/>
      <w:spacing w:before="100" w:beforeAutospacing="1" w:after="100" w:afterAutospacing="1" w:line="240" w:lineRule="auto"/>
    </w:pPr>
    <w:rPr>
      <w:rFonts w:ascii="宋体" w:hAnsi="宋体"/>
      <w:color w:val="008000"/>
      <w:kern w:val="0"/>
      <w:sz w:val="20"/>
    </w:rPr>
  </w:style>
  <w:style w:type="paragraph" w:customStyle="1" w:styleId="780">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kern w:val="0"/>
      <w:sz w:val="20"/>
    </w:rPr>
  </w:style>
  <w:style w:type="paragraph" w:customStyle="1" w:styleId="781">
    <w:name w:val="Normal2"/>
    <w:qFormat/>
    <w:uiPriority w:val="0"/>
    <w:pPr>
      <w:widowControl w:val="0"/>
      <w:adjustRightInd w:val="0"/>
      <w:spacing w:line="0" w:lineRule="atLeast"/>
      <w:ind w:left="709" w:hanging="482"/>
      <w:textAlignment w:val="baseline"/>
    </w:pPr>
    <w:rPr>
      <w:rFonts w:ascii="宋体" w:hAnsi="Times New Roman" w:eastAsia="宋体" w:cs="Times New Roman"/>
      <w:sz w:val="34"/>
      <w:lang w:val="en-US" w:eastAsia="zh-CN" w:bidi="ar-SA"/>
    </w:rPr>
  </w:style>
  <w:style w:type="paragraph" w:customStyle="1" w:styleId="782">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800080"/>
      <w:kern w:val="0"/>
      <w:sz w:val="20"/>
    </w:rPr>
  </w:style>
  <w:style w:type="paragraph" w:customStyle="1" w:styleId="783">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0000"/>
      <w:kern w:val="0"/>
      <w:sz w:val="20"/>
    </w:rPr>
  </w:style>
  <w:style w:type="paragraph" w:customStyle="1" w:styleId="784">
    <w:name w:val="xl2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color w:val="00FF00"/>
      <w:kern w:val="0"/>
      <w:sz w:val="20"/>
    </w:rPr>
  </w:style>
  <w:style w:type="paragraph" w:customStyle="1" w:styleId="785">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00FF"/>
      <w:kern w:val="0"/>
      <w:sz w:val="20"/>
    </w:rPr>
  </w:style>
  <w:style w:type="paragraph" w:customStyle="1" w:styleId="786">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kern w:val="0"/>
      <w:sz w:val="20"/>
    </w:rPr>
  </w:style>
  <w:style w:type="paragraph" w:customStyle="1" w:styleId="787">
    <w:name w:val="xl2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8000"/>
      <w:kern w:val="0"/>
      <w:sz w:val="20"/>
    </w:rPr>
  </w:style>
  <w:style w:type="paragraph" w:customStyle="1" w:styleId="788">
    <w:name w:val="Body Text Indent 21"/>
    <w:basedOn w:val="1"/>
    <w:qFormat/>
    <w:uiPriority w:val="0"/>
    <w:pPr>
      <w:autoSpaceDE w:val="0"/>
      <w:autoSpaceDN w:val="0"/>
      <w:adjustRightInd w:val="0"/>
      <w:spacing w:line="240" w:lineRule="auto"/>
      <w:ind w:firstLine="420"/>
      <w:textAlignment w:val="baseline"/>
    </w:pPr>
    <w:rPr>
      <w:sz w:val="21"/>
    </w:rPr>
  </w:style>
  <w:style w:type="paragraph" w:customStyle="1" w:styleId="789">
    <w:name w:val="xl2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FF9900"/>
      <w:kern w:val="0"/>
      <w:sz w:val="20"/>
    </w:rPr>
  </w:style>
  <w:style w:type="paragraph" w:customStyle="1" w:styleId="790">
    <w:name w:val="xl2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FF00"/>
      <w:kern w:val="0"/>
      <w:sz w:val="20"/>
    </w:rPr>
  </w:style>
  <w:style w:type="paragraph" w:customStyle="1" w:styleId="791">
    <w:name w:val="font13"/>
    <w:basedOn w:val="1"/>
    <w:qFormat/>
    <w:uiPriority w:val="0"/>
    <w:pPr>
      <w:widowControl/>
      <w:spacing w:before="100" w:beforeAutospacing="1" w:after="100" w:afterAutospacing="1" w:line="240" w:lineRule="auto"/>
    </w:pPr>
    <w:rPr>
      <w:rFonts w:ascii="宋体" w:hAnsi="宋体"/>
      <w:color w:val="000000"/>
      <w:kern w:val="0"/>
      <w:sz w:val="20"/>
    </w:rPr>
  </w:style>
  <w:style w:type="paragraph" w:customStyle="1" w:styleId="792">
    <w:name w:val="xl18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textAlignment w:val="center"/>
    </w:pPr>
    <w:rPr>
      <w:rFonts w:ascii="宋体" w:hAnsi="宋体"/>
      <w:color w:val="0000FF"/>
      <w:kern w:val="0"/>
      <w:sz w:val="20"/>
    </w:rPr>
  </w:style>
  <w:style w:type="paragraph" w:customStyle="1" w:styleId="793">
    <w:name w:val="章节序"/>
    <w:basedOn w:val="1"/>
    <w:qFormat/>
    <w:uiPriority w:val="0"/>
    <w:pPr>
      <w:widowControl/>
      <w:adjustRightInd w:val="0"/>
      <w:spacing w:line="240" w:lineRule="auto"/>
      <w:ind w:firstLine="420" w:firstLineChars="200"/>
    </w:pPr>
    <w:rPr>
      <w:rFonts w:ascii="Arial" w:hAnsi="Arial" w:eastAsia="楷体_GB2312"/>
      <w:sz w:val="21"/>
    </w:rPr>
  </w:style>
  <w:style w:type="paragraph" w:customStyle="1" w:styleId="794">
    <w:name w:val="xl1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b/>
      <w:color w:val="0000FF"/>
      <w:kern w:val="0"/>
      <w:sz w:val="20"/>
    </w:rPr>
  </w:style>
  <w:style w:type="paragraph" w:customStyle="1" w:styleId="795">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6600"/>
      <w:kern w:val="0"/>
      <w:sz w:val="20"/>
    </w:rPr>
  </w:style>
  <w:style w:type="paragraph" w:customStyle="1" w:styleId="796">
    <w:name w:val="表头样式"/>
    <w:basedOn w:val="567"/>
    <w:qFormat/>
    <w:uiPriority w:val="0"/>
    <w:pPr>
      <w:adjustRightInd w:val="0"/>
      <w:snapToGrid w:val="0"/>
      <w:spacing w:line="300" w:lineRule="exact"/>
    </w:pPr>
    <w:rPr>
      <w:rFonts w:hAnsi="宋体" w:eastAsia="楷体_GB2312" w:cs="Times New Roman"/>
      <w:snapToGrid/>
      <w:color w:val="auto"/>
      <w:kern w:val="2"/>
    </w:rPr>
  </w:style>
  <w:style w:type="paragraph" w:customStyle="1" w:styleId="797">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FF6600"/>
      <w:kern w:val="0"/>
      <w:sz w:val="20"/>
    </w:rPr>
  </w:style>
  <w:style w:type="paragraph" w:customStyle="1" w:styleId="798">
    <w:name w:val="font30"/>
    <w:basedOn w:val="1"/>
    <w:qFormat/>
    <w:uiPriority w:val="0"/>
    <w:pPr>
      <w:widowControl/>
      <w:spacing w:before="100" w:beforeAutospacing="1" w:after="100" w:afterAutospacing="1" w:line="240" w:lineRule="auto"/>
    </w:pPr>
    <w:rPr>
      <w:color w:val="FF6600"/>
      <w:kern w:val="0"/>
      <w:sz w:val="20"/>
    </w:rPr>
  </w:style>
  <w:style w:type="paragraph" w:customStyle="1" w:styleId="799">
    <w:name w:val="xl1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kern w:val="0"/>
      <w:sz w:val="20"/>
    </w:rPr>
  </w:style>
  <w:style w:type="paragraph" w:customStyle="1" w:styleId="800">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00FF"/>
      <w:kern w:val="0"/>
      <w:sz w:val="20"/>
    </w:rPr>
  </w:style>
  <w:style w:type="paragraph" w:customStyle="1" w:styleId="801">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FF0000"/>
      <w:kern w:val="0"/>
      <w:sz w:val="20"/>
    </w:rPr>
  </w:style>
  <w:style w:type="paragraph" w:customStyle="1" w:styleId="802">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olor w:val="808000"/>
      <w:kern w:val="0"/>
      <w:sz w:val="20"/>
    </w:rPr>
  </w:style>
  <w:style w:type="paragraph" w:customStyle="1" w:styleId="803">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00FF"/>
      <w:kern w:val="0"/>
      <w:sz w:val="20"/>
    </w:rPr>
  </w:style>
  <w:style w:type="paragraph" w:customStyle="1" w:styleId="804">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kern w:val="0"/>
      <w:sz w:val="20"/>
    </w:rPr>
  </w:style>
  <w:style w:type="paragraph" w:customStyle="1" w:styleId="805">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olor w:val="0000FF"/>
      <w:kern w:val="0"/>
      <w:sz w:val="20"/>
    </w:rPr>
  </w:style>
  <w:style w:type="paragraph" w:customStyle="1" w:styleId="806">
    <w:name w:val="xl2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00"/>
      <w:kern w:val="0"/>
      <w:sz w:val="20"/>
    </w:rPr>
  </w:style>
  <w:style w:type="paragraph" w:customStyle="1" w:styleId="807">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FF0000"/>
      <w:kern w:val="0"/>
      <w:sz w:val="20"/>
    </w:rPr>
  </w:style>
  <w:style w:type="paragraph" w:customStyle="1" w:styleId="808">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olor w:val="FF0000"/>
      <w:kern w:val="0"/>
      <w:sz w:val="20"/>
    </w:rPr>
  </w:style>
  <w:style w:type="paragraph" w:customStyle="1" w:styleId="809">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8000"/>
      <w:kern w:val="0"/>
      <w:sz w:val="20"/>
    </w:rPr>
  </w:style>
  <w:style w:type="paragraph" w:customStyle="1" w:styleId="810">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b/>
      <w:kern w:val="0"/>
      <w:sz w:val="20"/>
    </w:rPr>
  </w:style>
  <w:style w:type="paragraph" w:customStyle="1" w:styleId="811">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00FF"/>
      <w:kern w:val="0"/>
      <w:sz w:val="20"/>
    </w:rPr>
  </w:style>
  <w:style w:type="paragraph" w:customStyle="1" w:styleId="812">
    <w:name w:val="xl100"/>
    <w:basedOn w:val="1"/>
    <w:qFormat/>
    <w:uiPriority w:val="0"/>
    <w:pPr>
      <w:widowControl/>
      <w:pBdr>
        <w:top w:val="single" w:color="auto" w:sz="4" w:space="0"/>
        <w:bottom w:val="double" w:color="auto" w:sz="6" w:space="0"/>
        <w:right w:val="single" w:color="auto" w:sz="4" w:space="0"/>
      </w:pBdr>
      <w:spacing w:before="100" w:beforeAutospacing="1" w:after="100" w:afterAutospacing="1" w:line="240" w:lineRule="auto"/>
      <w:jc w:val="center"/>
      <w:textAlignment w:val="center"/>
    </w:pPr>
    <w:rPr>
      <w:rFonts w:hint="eastAsia" w:ascii="华文新魏" w:hAnsi="Arial Unicode MS" w:eastAsia="华文新魏"/>
      <w:b/>
      <w:kern w:val="0"/>
    </w:rPr>
  </w:style>
  <w:style w:type="paragraph" w:customStyle="1" w:styleId="813">
    <w:name w:val="zhengwen"/>
    <w:basedOn w:val="1"/>
    <w:qFormat/>
    <w:uiPriority w:val="0"/>
    <w:pPr>
      <w:adjustRightInd w:val="0"/>
      <w:snapToGrid w:val="0"/>
      <w:spacing w:line="520" w:lineRule="exact"/>
      <w:ind w:firstLine="200" w:firstLineChars="200"/>
    </w:pPr>
    <w:rPr>
      <w:sz w:val="28"/>
    </w:rPr>
  </w:style>
  <w:style w:type="paragraph" w:customStyle="1" w:styleId="814">
    <w:name w:val="xl2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b/>
      <w:color w:val="FF00FF"/>
      <w:kern w:val="0"/>
      <w:sz w:val="20"/>
    </w:rPr>
  </w:style>
  <w:style w:type="paragraph" w:customStyle="1" w:styleId="815">
    <w:name w:val="xl2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FF00"/>
      <w:kern w:val="0"/>
      <w:sz w:val="20"/>
    </w:rPr>
  </w:style>
  <w:style w:type="paragraph" w:customStyle="1" w:styleId="816">
    <w:name w:val="font14"/>
    <w:basedOn w:val="1"/>
    <w:qFormat/>
    <w:uiPriority w:val="0"/>
    <w:pPr>
      <w:widowControl/>
      <w:spacing w:before="100" w:beforeAutospacing="1" w:after="100" w:afterAutospacing="1" w:line="240" w:lineRule="auto"/>
    </w:pPr>
    <w:rPr>
      <w:rFonts w:ascii="Arial" w:hAnsi="Arial"/>
      <w:color w:val="0000FF"/>
      <w:kern w:val="0"/>
      <w:sz w:val="20"/>
    </w:rPr>
  </w:style>
  <w:style w:type="paragraph" w:customStyle="1" w:styleId="81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FF00FF"/>
      <w:kern w:val="0"/>
      <w:sz w:val="20"/>
    </w:rPr>
  </w:style>
  <w:style w:type="paragraph" w:customStyle="1" w:styleId="818">
    <w:name w:val="xl2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rPr>
  </w:style>
  <w:style w:type="paragraph" w:customStyle="1" w:styleId="819">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kern w:val="0"/>
      <w:sz w:val="20"/>
    </w:rPr>
  </w:style>
  <w:style w:type="paragraph" w:customStyle="1" w:styleId="820">
    <w:name w:val="Char Char Char Char Char Char1 Char1"/>
    <w:basedOn w:val="1"/>
    <w:qFormat/>
    <w:uiPriority w:val="0"/>
    <w:pPr>
      <w:widowControl/>
      <w:spacing w:after="160" w:line="240" w:lineRule="exact"/>
    </w:pPr>
    <w:rPr>
      <w:rFonts w:ascii="Verdana" w:hAnsi="Verdana"/>
      <w:kern w:val="0"/>
      <w:sz w:val="21"/>
      <w:lang w:eastAsia="en-US"/>
    </w:rPr>
  </w:style>
  <w:style w:type="paragraph" w:customStyle="1" w:styleId="821">
    <w:name w:val="正文表标题"/>
    <w:next w:val="1"/>
    <w:qFormat/>
    <w:uiPriority w:val="0"/>
    <w:pPr>
      <w:tabs>
        <w:tab w:val="left" w:pos="360"/>
      </w:tabs>
      <w:spacing w:line="360" w:lineRule="auto"/>
      <w:ind w:left="360" w:hanging="360"/>
      <w:jc w:val="center"/>
    </w:pPr>
    <w:rPr>
      <w:rFonts w:ascii="黑体" w:hAnsi="Times New Roman" w:eastAsia="黑体" w:cs="Times New Roman"/>
      <w:sz w:val="21"/>
      <w:lang w:val="en-US" w:eastAsia="zh-CN" w:bidi="ar-SA"/>
    </w:rPr>
  </w:style>
  <w:style w:type="paragraph" w:customStyle="1" w:styleId="822">
    <w:name w:val="font17"/>
    <w:basedOn w:val="1"/>
    <w:qFormat/>
    <w:uiPriority w:val="0"/>
    <w:pPr>
      <w:widowControl/>
      <w:spacing w:before="100" w:beforeAutospacing="1" w:after="100" w:afterAutospacing="1" w:line="240" w:lineRule="auto"/>
    </w:pPr>
    <w:rPr>
      <w:rFonts w:ascii="宋体" w:hAnsi="宋体"/>
      <w:color w:val="FF6600"/>
      <w:kern w:val="0"/>
      <w:sz w:val="20"/>
    </w:rPr>
  </w:style>
  <w:style w:type="paragraph" w:customStyle="1" w:styleId="823">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color w:val="FF0000"/>
      <w:kern w:val="0"/>
      <w:sz w:val="20"/>
    </w:rPr>
  </w:style>
  <w:style w:type="paragraph" w:customStyle="1" w:styleId="824">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FF00"/>
      <w:kern w:val="0"/>
      <w:sz w:val="20"/>
    </w:rPr>
  </w:style>
  <w:style w:type="paragraph" w:customStyle="1" w:styleId="825">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FF00FF"/>
      <w:kern w:val="0"/>
      <w:sz w:val="20"/>
    </w:rPr>
  </w:style>
  <w:style w:type="paragraph" w:customStyle="1" w:styleId="826">
    <w:name w:val="font19"/>
    <w:basedOn w:val="1"/>
    <w:qFormat/>
    <w:uiPriority w:val="0"/>
    <w:pPr>
      <w:widowControl/>
      <w:spacing w:before="100" w:beforeAutospacing="1" w:after="100" w:afterAutospacing="1" w:line="240" w:lineRule="auto"/>
    </w:pPr>
    <w:rPr>
      <w:color w:val="008000"/>
      <w:kern w:val="0"/>
      <w:sz w:val="20"/>
    </w:rPr>
  </w:style>
  <w:style w:type="paragraph" w:customStyle="1" w:styleId="827">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b/>
      <w:color w:val="008000"/>
      <w:kern w:val="0"/>
      <w:sz w:val="20"/>
    </w:rPr>
  </w:style>
  <w:style w:type="paragraph" w:customStyle="1" w:styleId="828">
    <w:name w:val="xl1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00"/>
      <w:kern w:val="0"/>
      <w:sz w:val="20"/>
    </w:rPr>
  </w:style>
  <w:style w:type="paragraph" w:customStyle="1" w:styleId="829">
    <w:name w:val="font29"/>
    <w:basedOn w:val="1"/>
    <w:qFormat/>
    <w:uiPriority w:val="0"/>
    <w:pPr>
      <w:widowControl/>
      <w:spacing w:before="100" w:beforeAutospacing="1" w:after="100" w:afterAutospacing="1" w:line="240" w:lineRule="auto"/>
    </w:pPr>
    <w:rPr>
      <w:rFonts w:ascii="宋体" w:hAnsi="宋体"/>
      <w:color w:val="FF6600"/>
      <w:kern w:val="0"/>
      <w:sz w:val="20"/>
    </w:rPr>
  </w:style>
  <w:style w:type="paragraph" w:customStyle="1" w:styleId="830">
    <w:name w:val="xl2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olor w:val="808000"/>
      <w:kern w:val="0"/>
      <w:sz w:val="20"/>
    </w:rPr>
  </w:style>
  <w:style w:type="paragraph" w:customStyle="1" w:styleId="831">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FF6600"/>
      <w:kern w:val="0"/>
      <w:sz w:val="20"/>
    </w:rPr>
  </w:style>
  <w:style w:type="paragraph" w:customStyle="1" w:styleId="832">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kern w:val="0"/>
      <w:sz w:val="20"/>
    </w:rPr>
  </w:style>
  <w:style w:type="paragraph" w:customStyle="1" w:styleId="833">
    <w:name w:val="默认段落字体 Para Char Char Char Char"/>
    <w:basedOn w:val="1"/>
    <w:qFormat/>
    <w:uiPriority w:val="0"/>
    <w:pPr>
      <w:spacing w:line="240" w:lineRule="auto"/>
    </w:pPr>
    <w:rPr>
      <w:sz w:val="21"/>
    </w:rPr>
  </w:style>
  <w:style w:type="paragraph" w:customStyle="1" w:styleId="834">
    <w:name w:val="font27"/>
    <w:basedOn w:val="1"/>
    <w:qFormat/>
    <w:uiPriority w:val="0"/>
    <w:pPr>
      <w:widowControl/>
      <w:spacing w:before="100" w:beforeAutospacing="1" w:after="100" w:afterAutospacing="1" w:line="240" w:lineRule="auto"/>
    </w:pPr>
    <w:rPr>
      <w:rFonts w:ascii="宋体" w:hAnsi="宋体"/>
      <w:color w:val="00FF00"/>
      <w:kern w:val="0"/>
      <w:sz w:val="20"/>
    </w:rPr>
  </w:style>
  <w:style w:type="paragraph" w:customStyle="1" w:styleId="835">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b/>
      <w:color w:val="FF0000"/>
      <w:kern w:val="0"/>
      <w:sz w:val="20"/>
    </w:rPr>
  </w:style>
  <w:style w:type="paragraph" w:customStyle="1" w:styleId="836">
    <w:name w:val="msolistparagraph"/>
    <w:basedOn w:val="1"/>
    <w:qFormat/>
    <w:uiPriority w:val="0"/>
    <w:pPr>
      <w:widowControl/>
      <w:spacing w:line="240" w:lineRule="auto"/>
      <w:ind w:firstLine="420"/>
    </w:pPr>
    <w:rPr>
      <w:rFonts w:ascii="宋体" w:hAnsi="宋体"/>
      <w:kern w:val="0"/>
    </w:rPr>
  </w:style>
  <w:style w:type="paragraph" w:customStyle="1" w:styleId="837">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FF"/>
      <w:kern w:val="0"/>
      <w:sz w:val="20"/>
    </w:rPr>
  </w:style>
  <w:style w:type="paragraph" w:customStyle="1" w:styleId="838">
    <w:name w:val="xl2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FF"/>
      <w:kern w:val="0"/>
      <w:sz w:val="20"/>
    </w:rPr>
  </w:style>
  <w:style w:type="paragraph" w:customStyle="1" w:styleId="839">
    <w:name w:val="默认段落字体 Para Char"/>
    <w:basedOn w:val="1"/>
    <w:qFormat/>
    <w:uiPriority w:val="0"/>
    <w:pPr>
      <w:tabs>
        <w:tab w:val="left" w:pos="360"/>
        <w:tab w:val="left" w:pos="1008"/>
      </w:tabs>
      <w:spacing w:line="240" w:lineRule="auto"/>
      <w:ind w:left="420" w:hanging="420"/>
    </w:pPr>
    <w:rPr>
      <w:rFonts w:ascii="宋体" w:hAnsi="宋体"/>
    </w:rPr>
  </w:style>
  <w:style w:type="paragraph" w:customStyle="1" w:styleId="840">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b/>
      <w:color w:val="0000FF"/>
      <w:kern w:val="0"/>
      <w:sz w:val="20"/>
    </w:rPr>
  </w:style>
  <w:style w:type="paragraph" w:customStyle="1" w:styleId="841">
    <w:name w:val="xl2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008000"/>
      <w:kern w:val="0"/>
      <w:sz w:val="20"/>
    </w:rPr>
  </w:style>
  <w:style w:type="paragraph" w:customStyle="1" w:styleId="842">
    <w:name w:val="正文样式"/>
    <w:basedOn w:val="35"/>
    <w:qFormat/>
    <w:uiPriority w:val="0"/>
    <w:pPr>
      <w:ind w:left="0" w:firstLine="420" w:firstLineChars="200"/>
    </w:pPr>
    <w:rPr>
      <w:rFonts w:hAnsi="Times New Roman"/>
      <w:sz w:val="21"/>
    </w:rPr>
  </w:style>
  <w:style w:type="paragraph" w:customStyle="1" w:styleId="843">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00FF"/>
      <w:kern w:val="0"/>
      <w:sz w:val="20"/>
    </w:rPr>
  </w:style>
  <w:style w:type="paragraph" w:customStyle="1" w:styleId="844">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00FF00"/>
      <w:kern w:val="0"/>
      <w:sz w:val="20"/>
    </w:rPr>
  </w:style>
  <w:style w:type="paragraph" w:customStyle="1" w:styleId="845">
    <w:name w:val="招标标题3"/>
    <w:basedOn w:val="846"/>
    <w:next w:val="654"/>
    <w:qFormat/>
    <w:uiPriority w:val="0"/>
    <w:pPr>
      <w:tabs>
        <w:tab w:val="left" w:pos="432"/>
        <w:tab w:val="left" w:pos="709"/>
        <w:tab w:val="left" w:pos="777"/>
      </w:tabs>
      <w:ind w:left="709" w:hanging="709"/>
      <w:outlineLvl w:val="2"/>
    </w:pPr>
  </w:style>
  <w:style w:type="paragraph" w:customStyle="1" w:styleId="846">
    <w:name w:val="招标标题2"/>
    <w:basedOn w:val="732"/>
    <w:next w:val="654"/>
    <w:qFormat/>
    <w:uiPriority w:val="0"/>
    <w:pPr>
      <w:keepNext w:val="0"/>
      <w:keepLines w:val="0"/>
      <w:tabs>
        <w:tab w:val="left" w:pos="777"/>
        <w:tab w:val="clear" w:pos="425"/>
      </w:tabs>
      <w:adjustRightInd w:val="0"/>
      <w:spacing w:before="120" w:after="120" w:line="360" w:lineRule="auto"/>
      <w:ind w:left="777" w:right="100" w:rightChars="100" w:hanging="567"/>
      <w:outlineLvl w:val="1"/>
    </w:pPr>
    <w:rPr>
      <w:rFonts w:eastAsia="宋体"/>
      <w:kern w:val="2"/>
      <w:sz w:val="21"/>
    </w:rPr>
  </w:style>
  <w:style w:type="paragraph" w:customStyle="1" w:styleId="847">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00FF"/>
      <w:kern w:val="0"/>
      <w:sz w:val="20"/>
    </w:rPr>
  </w:style>
  <w:style w:type="paragraph" w:customStyle="1" w:styleId="848">
    <w:name w:val="xl2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8000"/>
      <w:kern w:val="0"/>
      <w:sz w:val="20"/>
    </w:rPr>
  </w:style>
  <w:style w:type="paragraph" w:customStyle="1" w:styleId="849">
    <w:name w:val="xl2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00FF"/>
      <w:kern w:val="0"/>
      <w:sz w:val="20"/>
    </w:rPr>
  </w:style>
  <w:style w:type="paragraph" w:customStyle="1" w:styleId="850">
    <w:name w:val="xl2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b/>
      <w:color w:val="008000"/>
      <w:kern w:val="0"/>
      <w:sz w:val="20"/>
    </w:rPr>
  </w:style>
  <w:style w:type="paragraph" w:customStyle="1" w:styleId="851">
    <w:name w:val="xl1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color w:val="FF0000"/>
      <w:kern w:val="0"/>
      <w:sz w:val="20"/>
    </w:rPr>
  </w:style>
  <w:style w:type="paragraph" w:customStyle="1" w:styleId="852">
    <w:name w:val="xl2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6600"/>
      <w:kern w:val="0"/>
      <w:sz w:val="20"/>
    </w:rPr>
  </w:style>
  <w:style w:type="paragraph" w:customStyle="1" w:styleId="853">
    <w:name w:val="xl2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6600"/>
      <w:kern w:val="0"/>
      <w:sz w:val="20"/>
    </w:rPr>
  </w:style>
  <w:style w:type="paragraph" w:customStyle="1" w:styleId="854">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00FF00"/>
      <w:kern w:val="0"/>
      <w:sz w:val="20"/>
    </w:rPr>
  </w:style>
  <w:style w:type="paragraph" w:customStyle="1" w:styleId="855">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6600"/>
      <w:kern w:val="0"/>
      <w:sz w:val="20"/>
    </w:rPr>
  </w:style>
  <w:style w:type="paragraph" w:customStyle="1" w:styleId="856">
    <w:name w:val="xl2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00"/>
      <w:kern w:val="0"/>
      <w:sz w:val="20"/>
    </w:rPr>
  </w:style>
  <w:style w:type="paragraph" w:customStyle="1" w:styleId="857">
    <w:name w:val="Char2 Char Char Char Char Char Char1 Char Char"/>
    <w:basedOn w:val="1"/>
    <w:qFormat/>
    <w:uiPriority w:val="0"/>
    <w:pPr>
      <w:ind w:firstLine="200" w:firstLineChars="200"/>
    </w:pPr>
    <w:rPr>
      <w:rFonts w:ascii="Tahoma" w:hAnsi="Tahoma"/>
    </w:rPr>
  </w:style>
  <w:style w:type="paragraph" w:customStyle="1" w:styleId="858">
    <w:name w:val="xl2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8000"/>
      <w:kern w:val="0"/>
      <w:sz w:val="20"/>
    </w:rPr>
  </w:style>
  <w:style w:type="paragraph" w:customStyle="1" w:styleId="859">
    <w:name w:val="Body Text Indent 22"/>
    <w:basedOn w:val="1"/>
    <w:qFormat/>
    <w:uiPriority w:val="0"/>
    <w:pPr>
      <w:autoSpaceDE w:val="0"/>
      <w:autoSpaceDN w:val="0"/>
      <w:adjustRightInd w:val="0"/>
      <w:spacing w:line="240" w:lineRule="auto"/>
      <w:ind w:firstLine="420"/>
      <w:textAlignment w:val="baseline"/>
    </w:pPr>
    <w:rPr>
      <w:sz w:val="21"/>
    </w:rPr>
  </w:style>
  <w:style w:type="paragraph" w:customStyle="1" w:styleId="860">
    <w:name w:val="xl2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FF00"/>
      <w:kern w:val="0"/>
      <w:sz w:val="20"/>
    </w:rPr>
  </w:style>
  <w:style w:type="paragraph" w:customStyle="1" w:styleId="861">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0000FF"/>
      <w:kern w:val="0"/>
      <w:sz w:val="20"/>
    </w:rPr>
  </w:style>
  <w:style w:type="paragraph" w:customStyle="1" w:styleId="862">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color w:val="0000FF"/>
      <w:kern w:val="0"/>
      <w:sz w:val="20"/>
    </w:rPr>
  </w:style>
  <w:style w:type="paragraph" w:customStyle="1" w:styleId="863">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00FF"/>
      <w:kern w:val="0"/>
      <w:sz w:val="20"/>
    </w:rPr>
  </w:style>
  <w:style w:type="paragraph" w:customStyle="1" w:styleId="864">
    <w:name w:val="招标标题4"/>
    <w:basedOn w:val="845"/>
    <w:next w:val="654"/>
    <w:qFormat/>
    <w:uiPriority w:val="0"/>
    <w:pPr>
      <w:spacing w:before="60"/>
      <w:ind w:left="432" w:hanging="432"/>
      <w:outlineLvl w:val="3"/>
    </w:pPr>
    <w:rPr>
      <w:rFonts w:ascii="宋体" w:hAnsi="宋体"/>
    </w:rPr>
  </w:style>
  <w:style w:type="paragraph" w:customStyle="1" w:styleId="865">
    <w:name w:val="xl99"/>
    <w:basedOn w:val="1"/>
    <w:qFormat/>
    <w:uiPriority w:val="0"/>
    <w:pPr>
      <w:widowControl/>
      <w:pBdr>
        <w:top w:val="single" w:color="auto" w:sz="4" w:space="0"/>
        <w:bottom w:val="double" w:color="auto" w:sz="6" w:space="0"/>
      </w:pBdr>
      <w:spacing w:before="100" w:beforeAutospacing="1" w:after="100" w:afterAutospacing="1" w:line="240" w:lineRule="auto"/>
      <w:jc w:val="center"/>
      <w:textAlignment w:val="center"/>
    </w:pPr>
    <w:rPr>
      <w:rFonts w:hint="eastAsia" w:ascii="华文新魏" w:hAnsi="Arial Unicode MS" w:eastAsia="华文新魏"/>
      <w:b/>
      <w:kern w:val="0"/>
    </w:rPr>
  </w:style>
  <w:style w:type="paragraph" w:customStyle="1" w:styleId="866">
    <w:name w:val="xl24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textAlignment w:val="center"/>
    </w:pPr>
    <w:rPr>
      <w:rFonts w:ascii="宋体" w:hAnsi="宋体"/>
      <w:color w:val="FF0000"/>
      <w:kern w:val="0"/>
      <w:sz w:val="20"/>
    </w:rPr>
  </w:style>
  <w:style w:type="paragraph" w:customStyle="1" w:styleId="867">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FF00FF"/>
      <w:kern w:val="0"/>
      <w:sz w:val="20"/>
    </w:rPr>
  </w:style>
  <w:style w:type="paragraph" w:customStyle="1" w:styleId="868">
    <w:name w:val="列表项目"/>
    <w:basedOn w:val="1"/>
    <w:qFormat/>
    <w:uiPriority w:val="0"/>
    <w:pPr>
      <w:tabs>
        <w:tab w:val="left" w:pos="420"/>
      </w:tabs>
      <w:spacing w:line="288" w:lineRule="auto"/>
      <w:ind w:left="432" w:hanging="432"/>
    </w:pPr>
  </w:style>
  <w:style w:type="paragraph" w:customStyle="1" w:styleId="869">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0000"/>
      <w:kern w:val="0"/>
      <w:sz w:val="20"/>
    </w:rPr>
  </w:style>
  <w:style w:type="paragraph" w:customStyle="1" w:styleId="870">
    <w:name w:val="font21"/>
    <w:basedOn w:val="1"/>
    <w:qFormat/>
    <w:uiPriority w:val="0"/>
    <w:pPr>
      <w:widowControl/>
      <w:spacing w:before="100" w:beforeAutospacing="1" w:after="100" w:afterAutospacing="1" w:line="240" w:lineRule="auto"/>
    </w:pPr>
    <w:rPr>
      <w:rFonts w:ascii="宋体" w:hAnsi="宋体"/>
      <w:kern w:val="0"/>
      <w:sz w:val="20"/>
    </w:rPr>
  </w:style>
  <w:style w:type="paragraph" w:customStyle="1" w:styleId="871">
    <w:name w:val="xl2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6600"/>
      <w:kern w:val="0"/>
      <w:sz w:val="20"/>
    </w:rPr>
  </w:style>
  <w:style w:type="paragraph" w:customStyle="1" w:styleId="872">
    <w:name w:val="招标标题6"/>
    <w:basedOn w:val="873"/>
    <w:next w:val="654"/>
    <w:qFormat/>
    <w:uiPriority w:val="0"/>
    <w:pPr>
      <w:tabs>
        <w:tab w:val="left" w:pos="709"/>
        <w:tab w:val="left" w:pos="777"/>
        <w:tab w:val="left" w:pos="992"/>
        <w:tab w:val="left" w:pos="1134"/>
      </w:tabs>
      <w:ind w:left="1134" w:hanging="1134"/>
      <w:outlineLvl w:val="5"/>
    </w:pPr>
  </w:style>
  <w:style w:type="paragraph" w:customStyle="1" w:styleId="873">
    <w:name w:val="招标标题5"/>
    <w:basedOn w:val="864"/>
    <w:next w:val="654"/>
    <w:qFormat/>
    <w:uiPriority w:val="0"/>
    <w:pPr>
      <w:tabs>
        <w:tab w:val="left" w:pos="992"/>
        <w:tab w:val="clear" w:pos="432"/>
      </w:tabs>
      <w:ind w:left="992" w:hanging="992"/>
      <w:outlineLvl w:val="4"/>
    </w:pPr>
  </w:style>
  <w:style w:type="paragraph" w:customStyle="1" w:styleId="874">
    <w:name w:val="xl2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FF00FF"/>
      <w:kern w:val="0"/>
      <w:sz w:val="20"/>
    </w:rPr>
  </w:style>
  <w:style w:type="paragraph" w:customStyle="1" w:styleId="875">
    <w:name w:val="xl2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b/>
      <w:color w:val="008000"/>
      <w:kern w:val="0"/>
      <w:sz w:val="20"/>
    </w:rPr>
  </w:style>
  <w:style w:type="paragraph" w:customStyle="1" w:styleId="876">
    <w:name w:val="Normal3"/>
    <w:qFormat/>
    <w:uiPriority w:val="0"/>
    <w:pPr>
      <w:widowControl w:val="0"/>
      <w:adjustRightInd w:val="0"/>
      <w:spacing w:line="0" w:lineRule="atLeast"/>
      <w:ind w:left="709" w:hanging="482"/>
      <w:textAlignment w:val="baseline"/>
    </w:pPr>
    <w:rPr>
      <w:rFonts w:ascii="宋体" w:hAnsi="Times New Roman" w:eastAsia="宋体" w:cs="Times New Roman"/>
      <w:sz w:val="34"/>
      <w:lang w:val="en-US" w:eastAsia="zh-CN" w:bidi="ar-SA"/>
    </w:rPr>
  </w:style>
  <w:style w:type="paragraph" w:customStyle="1" w:styleId="877">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FF"/>
      <w:kern w:val="0"/>
      <w:sz w:val="20"/>
    </w:rPr>
  </w:style>
  <w:style w:type="paragraph" w:customStyle="1" w:styleId="878">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kern w:val="0"/>
      <w:sz w:val="20"/>
    </w:rPr>
  </w:style>
  <w:style w:type="paragraph" w:customStyle="1" w:styleId="879">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0000"/>
      <w:kern w:val="0"/>
      <w:sz w:val="20"/>
    </w:rPr>
  </w:style>
  <w:style w:type="paragraph" w:customStyle="1" w:styleId="880">
    <w:name w:val="font25"/>
    <w:basedOn w:val="1"/>
    <w:qFormat/>
    <w:uiPriority w:val="0"/>
    <w:pPr>
      <w:widowControl/>
      <w:spacing w:before="100" w:beforeAutospacing="1" w:after="100" w:afterAutospacing="1" w:line="240" w:lineRule="auto"/>
    </w:pPr>
    <w:rPr>
      <w:rFonts w:ascii="宋体" w:hAnsi="宋体"/>
      <w:color w:val="FF00FF"/>
      <w:kern w:val="0"/>
      <w:sz w:val="20"/>
    </w:rPr>
  </w:style>
  <w:style w:type="paragraph" w:customStyle="1" w:styleId="881">
    <w:name w:val="font26"/>
    <w:basedOn w:val="1"/>
    <w:qFormat/>
    <w:uiPriority w:val="0"/>
    <w:pPr>
      <w:widowControl/>
      <w:spacing w:before="100" w:beforeAutospacing="1" w:after="100" w:afterAutospacing="1" w:line="240" w:lineRule="auto"/>
    </w:pPr>
    <w:rPr>
      <w:color w:val="FF00FF"/>
      <w:kern w:val="0"/>
      <w:sz w:val="20"/>
    </w:rPr>
  </w:style>
  <w:style w:type="paragraph" w:customStyle="1" w:styleId="882">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color w:val="000000"/>
      <w:kern w:val="0"/>
      <w:sz w:val="20"/>
    </w:rPr>
  </w:style>
  <w:style w:type="paragraph" w:customStyle="1" w:styleId="883">
    <w:name w:val="Tétière"/>
    <w:basedOn w:val="1"/>
    <w:qFormat/>
    <w:uiPriority w:val="0"/>
    <w:pPr>
      <w:widowControl/>
      <w:spacing w:before="60" w:after="60" w:line="240" w:lineRule="auto"/>
      <w:jc w:val="center"/>
    </w:pPr>
    <w:rPr>
      <w:rFonts w:ascii="Arial" w:hAnsi="Arial"/>
      <w:b/>
      <w:kern w:val="0"/>
      <w:sz w:val="16"/>
      <w:lang w:val="en-GB"/>
    </w:rPr>
  </w:style>
  <w:style w:type="paragraph" w:customStyle="1" w:styleId="884">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kern w:val="0"/>
      <w:sz w:val="20"/>
    </w:rPr>
  </w:style>
  <w:style w:type="paragraph" w:customStyle="1" w:styleId="885">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color w:val="FF0000"/>
      <w:kern w:val="0"/>
      <w:sz w:val="20"/>
    </w:rPr>
  </w:style>
  <w:style w:type="paragraph" w:customStyle="1" w:styleId="886">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kern w:val="0"/>
      <w:sz w:val="20"/>
    </w:rPr>
  </w:style>
  <w:style w:type="paragraph" w:customStyle="1" w:styleId="887">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kern w:val="0"/>
      <w:sz w:val="20"/>
    </w:rPr>
  </w:style>
  <w:style w:type="paragraph" w:customStyle="1" w:styleId="888">
    <w:name w:val="xl2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8000"/>
      <w:kern w:val="0"/>
      <w:sz w:val="20"/>
    </w:rPr>
  </w:style>
  <w:style w:type="paragraph" w:customStyle="1" w:styleId="889">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FF0000"/>
      <w:kern w:val="0"/>
      <w:sz w:val="20"/>
    </w:rPr>
  </w:style>
  <w:style w:type="paragraph" w:customStyle="1" w:styleId="890">
    <w:name w:val="重点"/>
    <w:basedOn w:val="1"/>
    <w:qFormat/>
    <w:uiPriority w:val="0"/>
    <w:pPr>
      <w:tabs>
        <w:tab w:val="left" w:pos="0"/>
        <w:tab w:val="left" w:pos="432"/>
      </w:tabs>
      <w:adjustRightInd w:val="0"/>
      <w:snapToGrid w:val="0"/>
      <w:spacing w:line="560" w:lineRule="atLeast"/>
      <w:ind w:left="432" w:hanging="432"/>
    </w:pPr>
    <w:rPr>
      <w:kern w:val="24"/>
      <w:sz w:val="30"/>
    </w:rPr>
  </w:style>
  <w:style w:type="paragraph" w:customStyle="1" w:styleId="891">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kern w:val="0"/>
      <w:sz w:val="20"/>
    </w:rPr>
  </w:style>
  <w:style w:type="paragraph" w:customStyle="1" w:styleId="892">
    <w:name w:val="xl2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8000"/>
      <w:kern w:val="0"/>
      <w:sz w:val="20"/>
    </w:rPr>
  </w:style>
  <w:style w:type="paragraph" w:customStyle="1" w:styleId="893">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color w:val="0000FF"/>
      <w:kern w:val="0"/>
      <w:sz w:val="20"/>
    </w:rPr>
  </w:style>
  <w:style w:type="paragraph" w:customStyle="1" w:styleId="894">
    <w:name w:val="xl2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olor w:val="000000"/>
      <w:kern w:val="0"/>
      <w:sz w:val="20"/>
    </w:rPr>
  </w:style>
  <w:style w:type="paragraph" w:customStyle="1" w:styleId="895">
    <w:name w:val="Plain Text2"/>
    <w:basedOn w:val="1"/>
    <w:qFormat/>
    <w:uiPriority w:val="0"/>
    <w:pPr>
      <w:adjustRightInd w:val="0"/>
      <w:spacing w:line="312" w:lineRule="atLeast"/>
      <w:textAlignment w:val="baseline"/>
    </w:pPr>
    <w:rPr>
      <w:rFonts w:ascii="宋体" w:hAnsi="Courier New"/>
      <w:kern w:val="0"/>
      <w:sz w:val="28"/>
    </w:rPr>
  </w:style>
  <w:style w:type="paragraph" w:customStyle="1" w:styleId="896">
    <w:name w:val="xl2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b/>
      <w:color w:val="008000"/>
      <w:kern w:val="0"/>
      <w:sz w:val="20"/>
    </w:rPr>
  </w:style>
  <w:style w:type="paragraph" w:customStyle="1" w:styleId="897">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8000"/>
      <w:kern w:val="0"/>
      <w:sz w:val="20"/>
    </w:rPr>
  </w:style>
  <w:style w:type="paragraph" w:customStyle="1" w:styleId="898">
    <w:name w:val="需求书用目录1"/>
    <w:basedOn w:val="1"/>
    <w:qFormat/>
    <w:uiPriority w:val="0"/>
    <w:pPr>
      <w:spacing w:before="360" w:after="40"/>
      <w:jc w:val="center"/>
    </w:pPr>
    <w:rPr>
      <w:rFonts w:ascii="宋体"/>
      <w:b/>
    </w:rPr>
  </w:style>
  <w:style w:type="paragraph" w:customStyle="1" w:styleId="899">
    <w:name w:val="xl2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6600"/>
      <w:kern w:val="0"/>
      <w:sz w:val="20"/>
    </w:rPr>
  </w:style>
  <w:style w:type="paragraph" w:customStyle="1" w:styleId="900">
    <w:name w:val="xl2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color w:val="FF6600"/>
      <w:kern w:val="0"/>
      <w:sz w:val="20"/>
    </w:rPr>
  </w:style>
  <w:style w:type="paragraph" w:customStyle="1" w:styleId="901">
    <w:name w:val="font23"/>
    <w:basedOn w:val="1"/>
    <w:qFormat/>
    <w:uiPriority w:val="0"/>
    <w:pPr>
      <w:widowControl/>
      <w:spacing w:before="100" w:beforeAutospacing="1" w:after="100" w:afterAutospacing="1" w:line="240" w:lineRule="auto"/>
    </w:pPr>
    <w:rPr>
      <w:rFonts w:ascii="宋体" w:hAnsi="宋体"/>
      <w:color w:val="FF0000"/>
      <w:kern w:val="0"/>
      <w:sz w:val="20"/>
    </w:rPr>
  </w:style>
  <w:style w:type="paragraph" w:customStyle="1" w:styleId="902">
    <w:name w:val="xl2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9900"/>
      <w:kern w:val="0"/>
      <w:sz w:val="20"/>
    </w:rPr>
  </w:style>
  <w:style w:type="paragraph" w:customStyle="1" w:styleId="903">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FF9900"/>
      <w:kern w:val="0"/>
      <w:sz w:val="20"/>
    </w:rPr>
  </w:style>
  <w:style w:type="paragraph" w:customStyle="1" w:styleId="904">
    <w:name w:val="retrait1"/>
    <w:basedOn w:val="1"/>
    <w:qFormat/>
    <w:uiPriority w:val="0"/>
    <w:pPr>
      <w:widowControl/>
      <w:spacing w:before="20" w:after="20" w:line="240" w:lineRule="auto"/>
      <w:ind w:left="284"/>
    </w:pPr>
    <w:rPr>
      <w:rFonts w:ascii="Arial" w:hAnsi="Arial"/>
      <w:kern w:val="0"/>
      <w:lang w:val="en-GB"/>
    </w:rPr>
  </w:style>
  <w:style w:type="paragraph" w:customStyle="1" w:styleId="905">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0000"/>
      <w:kern w:val="0"/>
      <w:sz w:val="20"/>
    </w:rPr>
  </w:style>
  <w:style w:type="paragraph" w:customStyle="1" w:styleId="906">
    <w:name w:val="xl1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00"/>
      <w:kern w:val="0"/>
      <w:sz w:val="20"/>
    </w:rPr>
  </w:style>
  <w:style w:type="paragraph" w:customStyle="1" w:styleId="907">
    <w:name w:val="xl2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FF00"/>
      <w:kern w:val="0"/>
      <w:sz w:val="20"/>
    </w:rPr>
  </w:style>
  <w:style w:type="paragraph" w:customStyle="1" w:styleId="908">
    <w:name w:val="xl2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FF"/>
      <w:kern w:val="0"/>
      <w:sz w:val="20"/>
    </w:rPr>
  </w:style>
  <w:style w:type="paragraph" w:customStyle="1" w:styleId="909">
    <w:name w:val="样式 正文首行缩进正文首行缩进 1 Char正文首行缩进 Char + 红色 首行缩进:  2 字符"/>
    <w:basedOn w:val="351"/>
    <w:qFormat/>
    <w:uiPriority w:val="0"/>
    <w:pPr>
      <w:tabs>
        <w:tab w:val="left" w:pos="2213"/>
      </w:tabs>
      <w:spacing w:after="0" w:line="400" w:lineRule="exact"/>
      <w:ind w:firstLine="480" w:firstLineChars="200"/>
    </w:pPr>
    <w:rPr>
      <w:rFonts w:ascii="宋体" w:hAnsi="宋体"/>
      <w:kern w:val="24"/>
    </w:rPr>
  </w:style>
  <w:style w:type="paragraph" w:customStyle="1" w:styleId="910">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b/>
      <w:color w:val="0000FF"/>
      <w:kern w:val="0"/>
      <w:sz w:val="20"/>
    </w:rPr>
  </w:style>
  <w:style w:type="paragraph" w:customStyle="1" w:styleId="911">
    <w:name w:val="大标题"/>
    <w:qFormat/>
    <w:uiPriority w:val="0"/>
    <w:pPr>
      <w:tabs>
        <w:tab w:val="left" w:pos="1134"/>
      </w:tabs>
      <w:snapToGrid w:val="0"/>
      <w:spacing w:before="240" w:after="240" w:line="288" w:lineRule="auto"/>
      <w:ind w:left="709" w:hanging="482"/>
    </w:pPr>
    <w:rPr>
      <w:rFonts w:ascii="黑体" w:hAnsi="Times New Roman" w:eastAsia="黑体" w:cs="Times New Roman"/>
      <w:sz w:val="24"/>
      <w:lang w:val="en-US" w:eastAsia="zh-CN" w:bidi="ar-SA"/>
    </w:rPr>
  </w:style>
  <w:style w:type="paragraph" w:customStyle="1" w:styleId="912">
    <w:name w:val="Char Char1 Char Char Char Char Char Char Char Char Char Char Char"/>
    <w:basedOn w:val="1"/>
    <w:qFormat/>
    <w:uiPriority w:val="0"/>
    <w:pPr>
      <w:widowControl/>
      <w:spacing w:after="160" w:line="240" w:lineRule="exact"/>
    </w:pPr>
    <w:rPr>
      <w:rFonts w:ascii="Verdana" w:hAnsi="Verdana"/>
      <w:kern w:val="0"/>
      <w:sz w:val="20"/>
      <w:lang w:eastAsia="en-US"/>
    </w:rPr>
  </w:style>
  <w:style w:type="paragraph" w:customStyle="1" w:styleId="913">
    <w:name w:val="xl2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b/>
      <w:color w:val="FF00FF"/>
      <w:kern w:val="0"/>
      <w:sz w:val="20"/>
    </w:rPr>
  </w:style>
  <w:style w:type="paragraph" w:customStyle="1" w:styleId="914">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olor w:val="808000"/>
      <w:kern w:val="0"/>
      <w:sz w:val="20"/>
    </w:rPr>
  </w:style>
  <w:style w:type="paragraph" w:customStyle="1" w:styleId="915">
    <w:name w:val="liminaire"/>
    <w:basedOn w:val="1"/>
    <w:qFormat/>
    <w:uiPriority w:val="0"/>
    <w:pPr>
      <w:widowControl/>
      <w:spacing w:before="120" w:after="120" w:line="240" w:lineRule="auto"/>
    </w:pPr>
    <w:rPr>
      <w:kern w:val="0"/>
      <w:lang w:val="en-GB"/>
    </w:rPr>
  </w:style>
  <w:style w:type="paragraph" w:customStyle="1" w:styleId="916">
    <w:name w:val="Normal1"/>
    <w:qFormat/>
    <w:uiPriority w:val="0"/>
    <w:pPr>
      <w:widowControl w:val="0"/>
      <w:adjustRightInd w:val="0"/>
      <w:spacing w:line="315" w:lineRule="atLeast"/>
      <w:ind w:left="709" w:hanging="482"/>
      <w:jc w:val="both"/>
      <w:textAlignment w:val="baseline"/>
    </w:pPr>
    <w:rPr>
      <w:rFonts w:ascii="宋体" w:hAnsi="Times New Roman" w:eastAsia="宋体" w:cs="Times New Roman"/>
      <w:sz w:val="21"/>
      <w:lang w:val="en-US" w:eastAsia="zh-CN" w:bidi="ar-SA"/>
    </w:rPr>
  </w:style>
  <w:style w:type="paragraph" w:customStyle="1" w:styleId="917">
    <w:name w:val="项目编号"/>
    <w:basedOn w:val="1"/>
    <w:qFormat/>
    <w:uiPriority w:val="0"/>
    <w:pPr>
      <w:tabs>
        <w:tab w:val="left" w:pos="432"/>
        <w:tab w:val="left" w:pos="918"/>
      </w:tabs>
      <w:ind w:left="432" w:hanging="432"/>
    </w:pPr>
  </w:style>
  <w:style w:type="paragraph" w:customStyle="1" w:styleId="918">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8000"/>
      <w:kern w:val="0"/>
      <w:sz w:val="20"/>
    </w:rPr>
  </w:style>
  <w:style w:type="paragraph" w:customStyle="1" w:styleId="919">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color w:val="FF0000"/>
      <w:kern w:val="0"/>
      <w:sz w:val="20"/>
    </w:rPr>
  </w:style>
  <w:style w:type="paragraph" w:customStyle="1" w:styleId="920">
    <w:name w:val="Main"/>
    <w:qFormat/>
    <w:uiPriority w:val="0"/>
    <w:pPr>
      <w:widowControl w:val="0"/>
      <w:tabs>
        <w:tab w:val="left" w:pos="-720"/>
        <w:tab w:val="left" w:pos="510"/>
        <w:tab w:val="left" w:pos="1224"/>
        <w:tab w:val="left" w:pos="2143"/>
        <w:tab w:val="left" w:pos="3265"/>
      </w:tabs>
      <w:suppressAutoHyphens/>
      <w:spacing w:line="360" w:lineRule="auto"/>
      <w:ind w:left="709" w:hanging="482"/>
    </w:pPr>
    <w:rPr>
      <w:rFonts w:ascii="Univers" w:hAnsi="Univers" w:eastAsia="PMingLiU" w:cs="Times New Roman"/>
      <w:snapToGrid w:val="0"/>
      <w:sz w:val="24"/>
      <w:lang w:val="en-US" w:eastAsia="zh-TW" w:bidi="ar-SA"/>
    </w:rPr>
  </w:style>
  <w:style w:type="paragraph" w:customStyle="1" w:styleId="921">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FF"/>
      <w:kern w:val="0"/>
      <w:sz w:val="20"/>
    </w:rPr>
  </w:style>
  <w:style w:type="paragraph" w:customStyle="1" w:styleId="922">
    <w:name w:val="font24"/>
    <w:basedOn w:val="1"/>
    <w:qFormat/>
    <w:uiPriority w:val="0"/>
    <w:pPr>
      <w:widowControl/>
      <w:spacing w:before="100" w:beforeAutospacing="1" w:after="100" w:afterAutospacing="1" w:line="240" w:lineRule="auto"/>
    </w:pPr>
    <w:rPr>
      <w:color w:val="000000"/>
      <w:kern w:val="0"/>
      <w:sz w:val="20"/>
    </w:rPr>
  </w:style>
  <w:style w:type="paragraph" w:customStyle="1" w:styleId="923">
    <w:name w:val="正文点缩进"/>
    <w:basedOn w:val="1"/>
    <w:qFormat/>
    <w:uiPriority w:val="0"/>
    <w:pPr>
      <w:widowControl/>
      <w:tabs>
        <w:tab w:val="left" w:pos="1758"/>
      </w:tabs>
      <w:snapToGrid w:val="0"/>
      <w:spacing w:after="60" w:line="288" w:lineRule="auto"/>
    </w:pPr>
    <w:rPr>
      <w:rFonts w:ascii="宋体"/>
      <w:sz w:val="22"/>
      <w:shd w:val="clear" w:color="auto" w:fill="FFFFFF"/>
    </w:rPr>
  </w:style>
  <w:style w:type="paragraph" w:customStyle="1" w:styleId="924">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b/>
      <w:color w:val="FF0000"/>
      <w:kern w:val="0"/>
      <w:sz w:val="20"/>
    </w:rPr>
  </w:style>
  <w:style w:type="paragraph" w:customStyle="1" w:styleId="925">
    <w:name w:val="样式 标题 5 + 自动设置"/>
    <w:basedOn w:val="7"/>
    <w:qFormat/>
    <w:uiPriority w:val="0"/>
    <w:pPr>
      <w:keepNext w:val="0"/>
      <w:keepLines w:val="0"/>
      <w:numPr>
        <w:numId w:val="0"/>
      </w:numPr>
      <w:spacing w:before="0" w:after="0"/>
      <w:ind w:firstLine="100" w:firstLineChars="100"/>
    </w:pPr>
    <w:rPr>
      <w:rFonts w:ascii="Times New Roman" w:hAnsi="Times New Roman"/>
      <w:sz w:val="21"/>
    </w:rPr>
  </w:style>
  <w:style w:type="paragraph" w:customStyle="1" w:styleId="926">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color w:val="0000FF"/>
      <w:kern w:val="0"/>
      <w:sz w:val="20"/>
    </w:rPr>
  </w:style>
  <w:style w:type="paragraph" w:customStyle="1" w:styleId="92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color w:val="00FF00"/>
      <w:kern w:val="0"/>
      <w:sz w:val="20"/>
    </w:rPr>
  </w:style>
  <w:style w:type="paragraph" w:customStyle="1" w:styleId="928">
    <w:name w:val="xl2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b/>
      <w:color w:val="FF9900"/>
      <w:kern w:val="0"/>
      <w:sz w:val="20"/>
    </w:rPr>
  </w:style>
  <w:style w:type="paragraph" w:customStyle="1" w:styleId="929">
    <w:name w:val="font20"/>
    <w:basedOn w:val="1"/>
    <w:qFormat/>
    <w:uiPriority w:val="0"/>
    <w:pPr>
      <w:widowControl/>
      <w:spacing w:before="100" w:beforeAutospacing="1" w:after="100" w:afterAutospacing="1" w:line="240" w:lineRule="auto"/>
    </w:pPr>
    <w:rPr>
      <w:color w:val="0000FF"/>
      <w:kern w:val="0"/>
      <w:sz w:val="20"/>
    </w:rPr>
  </w:style>
  <w:style w:type="paragraph" w:customStyle="1" w:styleId="930">
    <w:name w:val="xl2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pPr>
    <w:rPr>
      <w:rFonts w:ascii="黑体" w:hAnsi="宋体" w:eastAsia="黑体"/>
      <w:b/>
      <w:color w:val="808000"/>
      <w:kern w:val="0"/>
      <w:sz w:val="20"/>
    </w:rPr>
  </w:style>
  <w:style w:type="paragraph" w:customStyle="1" w:styleId="931">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kern w:val="0"/>
      <w:sz w:val="20"/>
    </w:rPr>
  </w:style>
  <w:style w:type="paragraph" w:customStyle="1" w:styleId="932">
    <w:name w:val="样式 标题 2章标题 1.12 headlinehheadlineS&amp;R2ERMH2H2PIM2Headin..."/>
    <w:basedOn w:val="4"/>
    <w:qFormat/>
    <w:uiPriority w:val="0"/>
    <w:pPr>
      <w:keepLines w:val="0"/>
      <w:pageBreakBefore/>
      <w:numPr>
        <w:ilvl w:val="0"/>
        <w:numId w:val="0"/>
      </w:numPr>
      <w:tabs>
        <w:tab w:val="left" w:pos="840"/>
      </w:tabs>
      <w:spacing w:before="312" w:after="156" w:line="560" w:lineRule="exact"/>
      <w:ind w:left="840" w:hanging="420"/>
      <w:jc w:val="center"/>
    </w:pPr>
    <w:rPr>
      <w:rFonts w:ascii="黑体"/>
      <w:b w:val="0"/>
      <w:sz w:val="32"/>
    </w:rPr>
  </w:style>
  <w:style w:type="paragraph" w:customStyle="1" w:styleId="933">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olor w:val="800080"/>
      <w:kern w:val="0"/>
      <w:sz w:val="20"/>
    </w:rPr>
  </w:style>
  <w:style w:type="paragraph" w:customStyle="1" w:styleId="934">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宋体" w:hAnsi="宋体"/>
      <w:kern w:val="0"/>
      <w:sz w:val="20"/>
    </w:rPr>
  </w:style>
  <w:style w:type="paragraph" w:customStyle="1" w:styleId="935">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FF"/>
      <w:kern w:val="0"/>
      <w:sz w:val="20"/>
    </w:rPr>
  </w:style>
  <w:style w:type="paragraph" w:customStyle="1" w:styleId="936">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b/>
      <w:color w:val="FF00FF"/>
      <w:kern w:val="0"/>
      <w:sz w:val="20"/>
    </w:rPr>
  </w:style>
  <w:style w:type="paragraph" w:customStyle="1" w:styleId="937">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00"/>
      <w:kern w:val="0"/>
      <w:sz w:val="20"/>
    </w:rPr>
  </w:style>
  <w:style w:type="paragraph" w:customStyle="1" w:styleId="938">
    <w:name w:val="xl2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FF9900"/>
      <w:kern w:val="0"/>
      <w:sz w:val="20"/>
    </w:rPr>
  </w:style>
  <w:style w:type="paragraph" w:customStyle="1" w:styleId="939">
    <w:name w:val="tableau"/>
    <w:basedOn w:val="1"/>
    <w:qFormat/>
    <w:uiPriority w:val="0"/>
    <w:pPr>
      <w:widowControl/>
      <w:spacing w:before="20" w:after="20" w:line="240" w:lineRule="auto"/>
      <w:jc w:val="center"/>
    </w:pPr>
    <w:rPr>
      <w:rFonts w:ascii="Arial" w:hAnsi="Arial"/>
      <w:kern w:val="0"/>
      <w:sz w:val="16"/>
      <w:lang w:val="en-GB"/>
    </w:rPr>
  </w:style>
  <w:style w:type="paragraph" w:customStyle="1" w:styleId="940">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b/>
      <w:color w:val="FF0000"/>
      <w:kern w:val="0"/>
      <w:sz w:val="20"/>
    </w:rPr>
  </w:style>
  <w:style w:type="paragraph" w:customStyle="1" w:styleId="941">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黑体" w:hAnsi="宋体" w:eastAsia="黑体"/>
      <w:b/>
      <w:color w:val="FF0000"/>
      <w:kern w:val="0"/>
      <w:sz w:val="20"/>
    </w:rPr>
  </w:style>
  <w:style w:type="paragraph" w:customStyle="1" w:styleId="942">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kern w:val="0"/>
      <w:sz w:val="20"/>
    </w:rPr>
  </w:style>
  <w:style w:type="paragraph" w:customStyle="1" w:styleId="943">
    <w:name w:val="xl2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FF9900"/>
      <w:kern w:val="0"/>
      <w:sz w:val="20"/>
    </w:rPr>
  </w:style>
  <w:style w:type="paragraph" w:customStyle="1" w:styleId="944">
    <w:name w:val="xl2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黑体" w:hAnsi="宋体" w:eastAsia="黑体"/>
      <w:b/>
      <w:color w:val="00FF00"/>
      <w:kern w:val="0"/>
      <w:sz w:val="20"/>
    </w:rPr>
  </w:style>
  <w:style w:type="paragraph" w:customStyle="1" w:styleId="945">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kern w:val="0"/>
      <w:sz w:val="20"/>
    </w:rPr>
  </w:style>
  <w:style w:type="paragraph" w:customStyle="1" w:styleId="946">
    <w:name w:val="TOC 标题1"/>
    <w:basedOn w:val="3"/>
    <w:next w:val="1"/>
    <w:qFormat/>
    <w:uiPriority w:val="0"/>
    <w:pPr>
      <w:widowControl/>
      <w:numPr>
        <w:numId w:val="0"/>
      </w:numPr>
      <w:autoSpaceDE/>
      <w:spacing w:before="480" w:after="0" w:line="276" w:lineRule="auto"/>
      <w:outlineLvl w:val="9"/>
    </w:pPr>
    <w:rPr>
      <w:rFonts w:ascii="Cambria" w:hAnsi="Cambria" w:eastAsia="宋体"/>
      <w:b/>
      <w:color w:val="365F91"/>
      <w:kern w:val="0"/>
    </w:rPr>
  </w:style>
  <w:style w:type="paragraph" w:customStyle="1" w:styleId="947">
    <w:name w:val="xl2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黑体" w:hAnsi="宋体" w:eastAsia="黑体"/>
      <w:b/>
      <w:color w:val="00FF00"/>
      <w:kern w:val="0"/>
      <w:sz w:val="20"/>
    </w:rPr>
  </w:style>
  <w:style w:type="paragraph" w:customStyle="1" w:styleId="948">
    <w:name w:val="font12"/>
    <w:basedOn w:val="1"/>
    <w:qFormat/>
    <w:uiPriority w:val="0"/>
    <w:pPr>
      <w:widowControl/>
      <w:spacing w:before="100" w:beforeAutospacing="1" w:after="100" w:afterAutospacing="1" w:line="240" w:lineRule="auto"/>
    </w:pPr>
    <w:rPr>
      <w:rFonts w:ascii="宋体" w:hAnsi="宋体"/>
      <w:b/>
      <w:kern w:val="0"/>
      <w:sz w:val="20"/>
    </w:rPr>
  </w:style>
  <w:style w:type="paragraph" w:customStyle="1" w:styleId="949">
    <w:name w:val="Retrait 1"/>
    <w:basedOn w:val="21"/>
    <w:qFormat/>
    <w:uiPriority w:val="0"/>
    <w:pPr>
      <w:widowControl/>
      <w:spacing w:after="240"/>
      <w:ind w:left="1134"/>
      <w:jc w:val="left"/>
    </w:pPr>
    <w:rPr>
      <w:rFonts w:ascii="Palatino" w:hAnsi="Palatino" w:eastAsia="宋体"/>
      <w:kern w:val="0"/>
      <w:sz w:val="24"/>
      <w:lang w:val="en-GB"/>
    </w:rPr>
  </w:style>
  <w:style w:type="paragraph" w:customStyle="1" w:styleId="950">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color w:val="0000FF"/>
      <w:kern w:val="0"/>
      <w:sz w:val="20"/>
    </w:rPr>
  </w:style>
  <w:style w:type="paragraph" w:customStyle="1" w:styleId="951">
    <w:name w:val="font16"/>
    <w:basedOn w:val="1"/>
    <w:qFormat/>
    <w:uiPriority w:val="0"/>
    <w:pPr>
      <w:widowControl/>
      <w:spacing w:before="100" w:beforeAutospacing="1" w:after="100" w:afterAutospacing="1" w:line="240" w:lineRule="auto"/>
    </w:pPr>
    <w:rPr>
      <w:rFonts w:ascii="宋体" w:hAnsi="宋体"/>
      <w:color w:val="00FF00"/>
      <w:kern w:val="0"/>
      <w:sz w:val="20"/>
    </w:rPr>
  </w:style>
  <w:style w:type="paragraph" w:customStyle="1" w:styleId="952">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FF0000"/>
      <w:kern w:val="0"/>
      <w:sz w:val="20"/>
    </w:rPr>
  </w:style>
  <w:style w:type="paragraph" w:customStyle="1" w:styleId="953">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color w:val="000000"/>
      <w:kern w:val="0"/>
      <w:sz w:val="20"/>
    </w:rPr>
  </w:style>
  <w:style w:type="paragraph" w:customStyle="1" w:styleId="954">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textAlignment w:val="center"/>
    </w:pPr>
    <w:rPr>
      <w:rFonts w:ascii="黑体" w:hAnsi="宋体" w:eastAsia="黑体"/>
      <w:b/>
      <w:color w:val="008000"/>
      <w:kern w:val="0"/>
      <w:sz w:val="20"/>
    </w:rPr>
  </w:style>
  <w:style w:type="paragraph" w:customStyle="1" w:styleId="955">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rPr>
  </w:style>
  <w:style w:type="paragraph" w:customStyle="1" w:styleId="956">
    <w:name w:val="一级标题格式"/>
    <w:basedOn w:val="3"/>
    <w:qFormat/>
    <w:uiPriority w:val="0"/>
    <w:pPr>
      <w:keepNext w:val="0"/>
      <w:keepLines w:val="0"/>
      <w:numPr>
        <w:numId w:val="9"/>
      </w:numPr>
      <w:autoSpaceDE/>
      <w:spacing w:before="240" w:beforeLines="100" w:after="480" w:afterLines="200" w:line="240" w:lineRule="auto"/>
      <w:jc w:val="center"/>
    </w:pPr>
    <w:rPr>
      <w:rFonts w:ascii="Times New Roman" w:hAnsi="Times New Roman"/>
      <w:bCs/>
      <w:color w:val="FF0000"/>
      <w:sz w:val="32"/>
      <w:szCs w:val="44"/>
    </w:rPr>
  </w:style>
  <w:style w:type="paragraph" w:customStyle="1" w:styleId="957">
    <w:name w:val="表格文字格式"/>
    <w:basedOn w:val="149"/>
    <w:qFormat/>
    <w:uiPriority w:val="0"/>
    <w:rPr>
      <w:rFonts w:cs="宋体"/>
    </w:rPr>
  </w:style>
  <w:style w:type="paragraph" w:customStyle="1" w:styleId="958">
    <w:name w:val="表名格式"/>
    <w:basedOn w:val="149"/>
    <w:qFormat/>
    <w:uiPriority w:val="0"/>
    <w:pPr>
      <w:wordWrap w:val="0"/>
      <w:spacing w:before="120" w:beforeLines="50" w:line="480" w:lineRule="exact"/>
      <w:jc w:val="right"/>
    </w:pPr>
    <w:rPr>
      <w:rFonts w:hAnsi="宋体" w:cs="宋体"/>
    </w:rPr>
  </w:style>
  <w:style w:type="paragraph" w:customStyle="1" w:styleId="959">
    <w:name w:val="样式 二级标题格式 + 段后: 1 行"/>
    <w:basedOn w:val="655"/>
    <w:qFormat/>
    <w:uiPriority w:val="0"/>
    <w:pPr>
      <w:numPr>
        <w:ilvl w:val="1"/>
        <w:numId w:val="10"/>
      </w:numPr>
      <w:spacing w:before="240" w:after="100" w:afterLines="0"/>
      <w:jc w:val="both"/>
    </w:pPr>
    <w:rPr>
      <w:rFonts w:ascii="黑体" w:cs="宋体"/>
      <w:bCs/>
      <w:szCs w:val="20"/>
    </w:rPr>
  </w:style>
  <w:style w:type="paragraph" w:customStyle="1" w:styleId="960">
    <w:name w:val="样式 四级标题格式 + 段后: 1 行"/>
    <w:basedOn w:val="657"/>
    <w:qFormat/>
    <w:uiPriority w:val="0"/>
    <w:pPr>
      <w:spacing w:before="240" w:after="100" w:afterLines="0"/>
      <w:outlineLvl w:val="2"/>
    </w:pPr>
    <w:rPr>
      <w:rFonts w:ascii="黑体" w:cs="宋体"/>
      <w:bCs w:val="0"/>
      <w:szCs w:val="20"/>
    </w:rPr>
  </w:style>
  <w:style w:type="paragraph" w:customStyle="1" w:styleId="961">
    <w:name w:val="篇与册格式"/>
    <w:basedOn w:val="1"/>
    <w:qFormat/>
    <w:uiPriority w:val="0"/>
    <w:pPr>
      <w:spacing w:before="100" w:beforeLines="100" w:after="100" w:afterLines="100" w:line="240" w:lineRule="auto"/>
      <w:jc w:val="center"/>
      <w:outlineLvl w:val="0"/>
    </w:pPr>
    <w:rPr>
      <w:rFonts w:ascii="黑体" w:eastAsia="黑体"/>
      <w:sz w:val="32"/>
      <w:szCs w:val="32"/>
    </w:rPr>
  </w:style>
  <w:style w:type="paragraph" w:customStyle="1" w:styleId="962">
    <w:name w:val="4正文 Char"/>
    <w:basedOn w:val="1"/>
    <w:link w:val="963"/>
    <w:qFormat/>
    <w:uiPriority w:val="0"/>
    <w:pPr>
      <w:spacing w:line="240" w:lineRule="auto"/>
      <w:ind w:firstLine="480" w:firstLineChars="200"/>
    </w:pPr>
    <w:rPr>
      <w:rFonts w:hAnsi="宋体"/>
      <w:szCs w:val="24"/>
    </w:rPr>
  </w:style>
  <w:style w:type="character" w:customStyle="1" w:styleId="963">
    <w:name w:val="4正文 Char Char"/>
    <w:link w:val="962"/>
    <w:qFormat/>
    <w:uiPriority w:val="0"/>
    <w:rPr>
      <w:rFonts w:hAnsi="宋体" w:eastAsia="宋体"/>
      <w:kern w:val="2"/>
      <w:sz w:val="24"/>
      <w:szCs w:val="24"/>
      <w:lang w:val="en-US" w:eastAsia="zh-CN" w:bidi="ar-SA"/>
    </w:rPr>
  </w:style>
  <w:style w:type="paragraph" w:customStyle="1" w:styleId="964">
    <w:name w:val="青岛正文"/>
    <w:basedOn w:val="1"/>
    <w:qFormat/>
    <w:uiPriority w:val="0"/>
    <w:rPr>
      <w:sz w:val="28"/>
      <w:szCs w:val="24"/>
    </w:rPr>
  </w:style>
  <w:style w:type="character" w:customStyle="1" w:styleId="965">
    <w:name w:val="二级节名 Char1"/>
    <w:qFormat/>
    <w:uiPriority w:val="0"/>
    <w:rPr>
      <w:rFonts w:eastAsia="黑体"/>
      <w:bCs/>
      <w:kern w:val="2"/>
      <w:sz w:val="28"/>
      <w:szCs w:val="28"/>
    </w:rPr>
  </w:style>
  <w:style w:type="character" w:customStyle="1" w:styleId="966">
    <w:name w:val="第六层条 Char1"/>
    <w:qFormat/>
    <w:uiPriority w:val="0"/>
    <w:rPr>
      <w:bCs/>
      <w:kern w:val="2"/>
      <w:sz w:val="24"/>
      <w:szCs w:val="24"/>
    </w:rPr>
  </w:style>
  <w:style w:type="paragraph" w:customStyle="1" w:styleId="967">
    <w:name w:val="样式 样式 小四 行距: 固定值 27 磅 + 首行缩进:  2 字符"/>
    <w:basedOn w:val="1"/>
    <w:link w:val="1011"/>
    <w:qFormat/>
    <w:uiPriority w:val="0"/>
    <w:pPr>
      <w:ind w:firstLine="480" w:firstLineChars="200"/>
    </w:pPr>
    <w:rPr>
      <w:rFonts w:cs="宋体"/>
    </w:rPr>
  </w:style>
  <w:style w:type="paragraph" w:customStyle="1" w:styleId="968">
    <w:name w:val="样式 标题 3标题 3 Char标题 3 Char Chartítulo 3标题 3 Char1标题 3 Char C..."/>
    <w:next w:val="337"/>
    <w:qFormat/>
    <w:uiPriority w:val="0"/>
    <w:pPr>
      <w:spacing w:before="50" w:beforeLines="50" w:line="360" w:lineRule="auto"/>
      <w:ind w:left="709" w:hanging="482"/>
      <w:outlineLvl w:val="2"/>
    </w:pPr>
    <w:rPr>
      <w:rFonts w:ascii="Times New Roman" w:hAnsi="Times New Roman" w:eastAsia="黑体" w:cs="宋体"/>
      <w:bCs/>
      <w:sz w:val="28"/>
      <w:szCs w:val="28"/>
      <w:lang w:val="en-US" w:eastAsia="zh-CN" w:bidi="ar-SA"/>
    </w:rPr>
  </w:style>
  <w:style w:type="paragraph" w:customStyle="1" w:styleId="969">
    <w:name w:val="篇名"/>
    <w:basedOn w:val="1"/>
    <w:qFormat/>
    <w:uiPriority w:val="0"/>
    <w:pPr>
      <w:spacing w:line="240" w:lineRule="auto"/>
      <w:jc w:val="center"/>
    </w:pPr>
    <w:rPr>
      <w:rFonts w:cs="宋体"/>
      <w:b/>
      <w:bCs/>
      <w:sz w:val="36"/>
    </w:rPr>
  </w:style>
  <w:style w:type="paragraph" w:customStyle="1" w:styleId="970">
    <w:name w:val="样式 普通文本 + 首行缩进:  2 字符"/>
    <w:basedOn w:val="1"/>
    <w:link w:val="973"/>
    <w:qFormat/>
    <w:uiPriority w:val="0"/>
    <w:pPr>
      <w:spacing w:line="500" w:lineRule="exact"/>
      <w:ind w:firstLine="480" w:firstLineChars="200"/>
    </w:pPr>
    <w:rPr>
      <w:rFonts w:ascii="Arial" w:hAnsi="Arial" w:cs="宋体"/>
    </w:rPr>
  </w:style>
  <w:style w:type="paragraph" w:customStyle="1" w:styleId="971">
    <w:name w:val="CL列表，表中文字"/>
    <w:basedOn w:val="66"/>
    <w:qFormat/>
    <w:uiPriority w:val="0"/>
    <w:pPr>
      <w:spacing w:before="20" w:after="20" w:line="240" w:lineRule="exact"/>
      <w:jc w:val="center"/>
      <w:outlineLvl w:val="2"/>
    </w:pPr>
    <w:rPr>
      <w:rFonts w:ascii="Dutch801 Rm BT" w:hAnsi="Dutch801 Rm BT" w:eastAsia="幼圆" w:cs="宋体"/>
      <w:kern w:val="0"/>
      <w:sz w:val="18"/>
      <w:szCs w:val="18"/>
    </w:rPr>
  </w:style>
  <w:style w:type="character" w:customStyle="1" w:styleId="972">
    <w:name w:val="标题 3 Char"/>
    <w:qFormat/>
    <w:uiPriority w:val="0"/>
    <w:rPr>
      <w:rFonts w:ascii="Arial" w:hAnsi="Arial" w:eastAsia="宋体"/>
      <w:b/>
      <w:bCs/>
      <w:kern w:val="2"/>
      <w:sz w:val="24"/>
      <w:szCs w:val="28"/>
      <w:lang w:val="en-US" w:eastAsia="zh-CN" w:bidi="ar-SA"/>
    </w:rPr>
  </w:style>
  <w:style w:type="character" w:customStyle="1" w:styleId="973">
    <w:name w:val="样式 普通文本 + 首行缩进:  2 字符 Char"/>
    <w:link w:val="970"/>
    <w:qFormat/>
    <w:uiPriority w:val="0"/>
    <w:rPr>
      <w:rFonts w:ascii="Arial" w:hAnsi="Arial" w:eastAsia="宋体" w:cs="宋体"/>
      <w:kern w:val="2"/>
      <w:sz w:val="24"/>
      <w:lang w:val="en-US" w:eastAsia="zh-CN" w:bidi="ar-SA"/>
    </w:rPr>
  </w:style>
  <w:style w:type="paragraph" w:customStyle="1" w:styleId="974">
    <w:name w:val="样式 首行缩进:  2 字符 段前: 0.5 行 段后: 0.5 行1"/>
    <w:basedOn w:val="1"/>
    <w:qFormat/>
    <w:uiPriority w:val="0"/>
    <w:pPr>
      <w:spacing w:before="156" w:after="156" w:line="240" w:lineRule="auto"/>
      <w:ind w:firstLine="480"/>
    </w:pPr>
    <w:rPr>
      <w:rFonts w:cs="宋体"/>
      <w:sz w:val="21"/>
    </w:rPr>
  </w:style>
  <w:style w:type="paragraph" w:customStyle="1" w:styleId="975">
    <w:name w:val="正文段落 Char Char Char"/>
    <w:basedOn w:val="1"/>
    <w:qFormat/>
    <w:uiPriority w:val="0"/>
    <w:pPr>
      <w:autoSpaceDE w:val="0"/>
      <w:autoSpaceDN w:val="0"/>
      <w:adjustRightInd w:val="0"/>
      <w:snapToGrid w:val="0"/>
      <w:spacing w:before="20" w:beforeLines="20" w:after="20" w:afterLines="20" w:line="540" w:lineRule="exact"/>
      <w:ind w:firstLine="567"/>
      <w:textAlignment w:val="baseline"/>
    </w:pPr>
    <w:rPr>
      <w:rFonts w:ascii="宋体" w:hAnsi="Tms Rmn"/>
      <w:sz w:val="26"/>
      <w:szCs w:val="24"/>
    </w:rPr>
  </w:style>
  <w:style w:type="character" w:customStyle="1" w:styleId="976">
    <w:name w:val="段落格式 Char"/>
    <w:link w:val="665"/>
    <w:qFormat/>
    <w:uiPriority w:val="0"/>
    <w:rPr>
      <w:rFonts w:ascii="宋体" w:hAnsi="宋体" w:eastAsia="宋体"/>
      <w:sz w:val="24"/>
      <w:szCs w:val="24"/>
      <w:lang w:val="en-US" w:eastAsia="zh-CN" w:bidi="ar-SA"/>
    </w:rPr>
  </w:style>
  <w:style w:type="paragraph" w:customStyle="1" w:styleId="977">
    <w:name w:val="三级格式"/>
    <w:basedOn w:val="1"/>
    <w:qFormat/>
    <w:uiPriority w:val="0"/>
    <w:pPr>
      <w:widowControl/>
      <w:adjustRightInd w:val="0"/>
      <w:snapToGrid w:val="0"/>
      <w:spacing w:before="120" w:beforeLines="50" w:after="120" w:afterLines="50"/>
      <w:outlineLvl w:val="2"/>
    </w:pPr>
    <w:rPr>
      <w:rFonts w:ascii="黑体" w:eastAsia="黑体" w:cs="宋体"/>
      <w:sz w:val="28"/>
      <w:szCs w:val="28"/>
    </w:rPr>
  </w:style>
  <w:style w:type="paragraph" w:customStyle="1" w:styleId="978">
    <w:name w:val="普通文本"/>
    <w:basedOn w:val="1"/>
    <w:link w:val="979"/>
    <w:qFormat/>
    <w:uiPriority w:val="0"/>
    <w:pPr>
      <w:spacing w:line="500" w:lineRule="exact"/>
      <w:ind w:firstLine="200" w:firstLineChars="200"/>
    </w:pPr>
    <w:rPr>
      <w:rFonts w:ascii="Arial" w:hAnsi="Arial"/>
      <w:szCs w:val="24"/>
    </w:rPr>
  </w:style>
  <w:style w:type="character" w:customStyle="1" w:styleId="979">
    <w:name w:val="普通文本 Char"/>
    <w:link w:val="978"/>
    <w:qFormat/>
    <w:uiPriority w:val="0"/>
    <w:rPr>
      <w:rFonts w:ascii="Arial" w:hAnsi="Arial" w:eastAsia="宋体"/>
      <w:kern w:val="2"/>
      <w:sz w:val="24"/>
      <w:szCs w:val="24"/>
      <w:lang w:val="en-US" w:eastAsia="zh-CN" w:bidi="ar-SA"/>
    </w:rPr>
  </w:style>
  <w:style w:type="paragraph" w:customStyle="1" w:styleId="980">
    <w:name w:val="CL标题5"/>
    <w:basedOn w:val="1"/>
    <w:qFormat/>
    <w:uiPriority w:val="0"/>
    <w:pPr>
      <w:tabs>
        <w:tab w:val="left" w:pos="2842"/>
      </w:tabs>
      <w:spacing w:line="240" w:lineRule="auto"/>
      <w:ind w:left="994" w:hanging="454"/>
      <w:outlineLvl w:val="4"/>
    </w:pPr>
    <w:rPr>
      <w:rFonts w:cs="宋体"/>
      <w:kern w:val="0"/>
      <w:sz w:val="21"/>
    </w:rPr>
  </w:style>
  <w:style w:type="paragraph" w:customStyle="1" w:styleId="981">
    <w:name w:val="CL标题3"/>
    <w:basedOn w:val="1"/>
    <w:qFormat/>
    <w:uiPriority w:val="0"/>
    <w:pPr>
      <w:tabs>
        <w:tab w:val="left" w:pos="0"/>
        <w:tab w:val="left" w:pos="1486"/>
        <w:tab w:val="left" w:pos="2842"/>
      </w:tabs>
      <w:spacing w:line="240" w:lineRule="auto"/>
      <w:ind w:left="1486" w:hanging="420"/>
      <w:outlineLvl w:val="2"/>
    </w:pPr>
    <w:rPr>
      <w:rFonts w:ascii="黑体" w:hAnsi="宋体" w:eastAsia="黑体" w:cs="宋体"/>
      <w:kern w:val="0"/>
      <w:sz w:val="28"/>
    </w:rPr>
  </w:style>
  <w:style w:type="paragraph" w:customStyle="1" w:styleId="982">
    <w:name w:val="CL标题2"/>
    <w:basedOn w:val="1"/>
    <w:qFormat/>
    <w:uiPriority w:val="0"/>
    <w:pPr>
      <w:spacing w:before="120" w:beforeAutospacing="1" w:after="120" w:afterAutospacing="1" w:line="480" w:lineRule="auto"/>
      <w:outlineLvl w:val="1"/>
    </w:pPr>
    <w:rPr>
      <w:rFonts w:ascii="Arial" w:hAnsi="Arial" w:eastAsia="黑体" w:cs="宋体"/>
      <w:b/>
      <w:bCs/>
      <w:sz w:val="30"/>
    </w:rPr>
  </w:style>
  <w:style w:type="paragraph" w:customStyle="1" w:styleId="983">
    <w:name w:val="CL标题4"/>
    <w:basedOn w:val="6"/>
    <w:qFormat/>
    <w:uiPriority w:val="0"/>
    <w:pPr>
      <w:numPr>
        <w:ilvl w:val="0"/>
        <w:numId w:val="0"/>
      </w:numPr>
      <w:tabs>
        <w:tab w:val="left" w:pos="2842"/>
      </w:tabs>
      <w:spacing w:before="100" w:beforeAutospacing="1" w:after="100" w:afterAutospacing="1"/>
    </w:pPr>
    <w:rPr>
      <w:rFonts w:ascii="Arial" w:eastAsia="黑体"/>
      <w:b/>
      <w:bCs/>
      <w:kern w:val="0"/>
      <w:szCs w:val="28"/>
    </w:rPr>
  </w:style>
  <w:style w:type="paragraph" w:customStyle="1" w:styleId="984">
    <w:name w:val="CL标题1"/>
    <w:basedOn w:val="1"/>
    <w:qFormat/>
    <w:uiPriority w:val="0"/>
    <w:pPr>
      <w:keepNext/>
      <w:keepLines/>
      <w:tabs>
        <w:tab w:val="left" w:pos="2842"/>
      </w:tabs>
      <w:spacing w:after="100" w:afterLines="100" w:line="460" w:lineRule="exact"/>
      <w:outlineLvl w:val="0"/>
    </w:pPr>
    <w:rPr>
      <w:rFonts w:ascii="黑体" w:eastAsia="黑体" w:cs="宋体"/>
      <w:kern w:val="44"/>
      <w:sz w:val="36"/>
    </w:rPr>
  </w:style>
  <w:style w:type="paragraph" w:customStyle="1" w:styleId="985">
    <w:name w:val="CL　表标题8"/>
    <w:basedOn w:val="22"/>
    <w:qFormat/>
    <w:uiPriority w:val="0"/>
    <w:pPr>
      <w:widowControl w:val="0"/>
      <w:spacing w:before="100" w:beforeLines="100" w:after="120"/>
    </w:pPr>
    <w:rPr>
      <w:rFonts w:eastAsia="黑体" w:cs="Arial"/>
      <w:snapToGrid/>
      <w:sz w:val="21"/>
      <w:szCs w:val="21"/>
    </w:rPr>
  </w:style>
  <w:style w:type="paragraph" w:customStyle="1" w:styleId="986">
    <w:name w:val="CL　图标题9"/>
    <w:basedOn w:val="1"/>
    <w:qFormat/>
    <w:uiPriority w:val="0"/>
    <w:pPr>
      <w:spacing w:line="240" w:lineRule="atLeast"/>
      <w:jc w:val="center"/>
    </w:pPr>
    <w:rPr>
      <w:rFonts w:ascii="黑体" w:eastAsia="黑体"/>
      <w:sz w:val="21"/>
      <w:szCs w:val="21"/>
    </w:rPr>
  </w:style>
  <w:style w:type="paragraph" w:customStyle="1" w:styleId="987">
    <w:name w:val="CL标题6"/>
    <w:basedOn w:val="1"/>
    <w:qFormat/>
    <w:uiPriority w:val="0"/>
    <w:pPr>
      <w:spacing w:line="240" w:lineRule="auto"/>
      <w:ind w:left="567" w:hanging="113"/>
    </w:pPr>
    <w:rPr>
      <w:sz w:val="21"/>
      <w:szCs w:val="24"/>
    </w:rPr>
  </w:style>
  <w:style w:type="paragraph" w:customStyle="1" w:styleId="988">
    <w:name w:val="CL　表标题8 + 段前: 1 行"/>
    <w:basedOn w:val="985"/>
    <w:qFormat/>
    <w:uiPriority w:val="0"/>
    <w:rPr>
      <w:rFonts w:cs="宋体"/>
      <w:szCs w:val="20"/>
    </w:rPr>
  </w:style>
  <w:style w:type="paragraph" w:customStyle="1" w:styleId="989">
    <w:name w:val="小标1"/>
    <w:basedOn w:val="1"/>
    <w:next w:val="1"/>
    <w:qFormat/>
    <w:uiPriority w:val="0"/>
    <w:pPr>
      <w:tabs>
        <w:tab w:val="left" w:pos="432"/>
      </w:tabs>
      <w:spacing w:line="400" w:lineRule="exact"/>
      <w:ind w:left="432" w:hanging="432"/>
    </w:pPr>
    <w:rPr>
      <w:rFonts w:ascii="宋体"/>
      <w:szCs w:val="24"/>
    </w:rPr>
  </w:style>
  <w:style w:type="character" w:customStyle="1" w:styleId="990">
    <w:name w:val="表头 Char"/>
    <w:link w:val="467"/>
    <w:qFormat/>
    <w:uiPriority w:val="0"/>
    <w:rPr>
      <w:rFonts w:ascii="宋体" w:eastAsia="宋体"/>
      <w:sz w:val="21"/>
      <w:lang w:val="en-US" w:eastAsia="zh-CN" w:bidi="ar-SA"/>
      <w14:shadow w14:blurRad="50800" w14:dist="38100" w14:dir="2700000" w14:sx="100000" w14:sy="100000" w14:kx="0" w14:ky="0" w14:algn="tl">
        <w14:srgbClr w14:val="000000">
          <w14:alpha w14:val="60000"/>
        </w14:srgbClr>
      </w14:shadow>
    </w:rPr>
  </w:style>
  <w:style w:type="paragraph" w:customStyle="1" w:styleId="991">
    <w:name w:val="Bullet2"/>
    <w:basedOn w:val="1"/>
    <w:qFormat/>
    <w:uiPriority w:val="0"/>
    <w:pPr>
      <w:widowControl/>
      <w:tabs>
        <w:tab w:val="left" w:pos="480"/>
      </w:tabs>
      <w:adjustRightInd w:val="0"/>
      <w:spacing w:line="240" w:lineRule="auto"/>
      <w:ind w:left="480" w:hanging="480"/>
      <w:textAlignment w:val="baseline"/>
    </w:pPr>
    <w:rPr>
      <w:kern w:val="0"/>
      <w:lang w:val="en-GB"/>
    </w:rPr>
  </w:style>
  <w:style w:type="paragraph" w:customStyle="1" w:styleId="992">
    <w:name w:val="Bullets - level 2"/>
    <w:basedOn w:val="1"/>
    <w:qFormat/>
    <w:uiPriority w:val="0"/>
    <w:pPr>
      <w:widowControl/>
      <w:tabs>
        <w:tab w:val="left" w:pos="360"/>
        <w:tab w:val="right" w:pos="9214"/>
      </w:tabs>
      <w:adjustRightInd w:val="0"/>
      <w:spacing w:line="240" w:lineRule="auto"/>
      <w:ind w:left="568" w:right="-108" w:hanging="284"/>
      <w:textAlignment w:val="baseline"/>
    </w:pPr>
    <w:rPr>
      <w:rFonts w:ascii="Invensys Andale" w:hAnsi="Invensys Andale"/>
      <w:kern w:val="0"/>
      <w:sz w:val="20"/>
      <w:lang w:val="en-GB"/>
    </w:rPr>
  </w:style>
  <w:style w:type="paragraph" w:customStyle="1" w:styleId="993">
    <w:name w:val="TABLE HEAD"/>
    <w:basedOn w:val="1"/>
    <w:qFormat/>
    <w:uiPriority w:val="0"/>
    <w:pPr>
      <w:widowControl/>
      <w:tabs>
        <w:tab w:val="left" w:pos="1296"/>
      </w:tabs>
      <w:adjustRightInd w:val="0"/>
      <w:spacing w:before="120" w:after="120" w:line="240" w:lineRule="auto"/>
      <w:jc w:val="center"/>
      <w:textAlignment w:val="baseline"/>
    </w:pPr>
    <w:rPr>
      <w:rFonts w:ascii="Arial" w:hAnsi="Arial"/>
      <w:b/>
      <w:caps/>
      <w:spacing w:val="5"/>
      <w:kern w:val="0"/>
      <w:sz w:val="20"/>
      <w:lang w:val="en-GB"/>
    </w:rPr>
  </w:style>
  <w:style w:type="paragraph" w:customStyle="1" w:styleId="994">
    <w:name w:val="TABLE TEXT l"/>
    <w:basedOn w:val="1"/>
    <w:qFormat/>
    <w:uiPriority w:val="0"/>
    <w:pPr>
      <w:widowControl/>
      <w:tabs>
        <w:tab w:val="left" w:pos="1296"/>
      </w:tabs>
      <w:adjustRightInd w:val="0"/>
      <w:spacing w:before="60" w:after="60" w:line="240" w:lineRule="auto"/>
      <w:ind w:left="72"/>
      <w:textAlignment w:val="baseline"/>
    </w:pPr>
    <w:rPr>
      <w:rFonts w:ascii="Helvetica" w:hAnsi="Helvetica"/>
      <w:spacing w:val="5"/>
      <w:kern w:val="0"/>
      <w:sz w:val="16"/>
      <w:lang w:val="en-GB"/>
    </w:rPr>
  </w:style>
  <w:style w:type="paragraph" w:customStyle="1" w:styleId="995">
    <w:name w:val="Section title"/>
    <w:basedOn w:val="1"/>
    <w:qFormat/>
    <w:uiPriority w:val="0"/>
    <w:pPr>
      <w:pageBreakBefore/>
      <w:widowControl/>
      <w:adjustRightInd w:val="0"/>
      <w:spacing w:after="240" w:line="240" w:lineRule="auto"/>
      <w:ind w:left="1701"/>
      <w:jc w:val="center"/>
      <w:textAlignment w:val="baseline"/>
    </w:pPr>
    <w:rPr>
      <w:rFonts w:ascii="Arial" w:hAnsi="Arial"/>
      <w:b/>
      <w:caps/>
      <w:kern w:val="0"/>
      <w:sz w:val="28"/>
      <w:lang w:val="en-GB"/>
    </w:rPr>
  </w:style>
  <w:style w:type="paragraph" w:customStyle="1" w:styleId="996">
    <w:name w:val="glos-term"/>
    <w:basedOn w:val="1"/>
    <w:qFormat/>
    <w:uiPriority w:val="0"/>
    <w:pPr>
      <w:widowControl/>
      <w:adjustRightInd w:val="0"/>
      <w:spacing w:before="60" w:after="60" w:line="240" w:lineRule="auto"/>
      <w:textAlignment w:val="baseline"/>
    </w:pPr>
    <w:rPr>
      <w:b/>
      <w:kern w:val="0"/>
      <w:sz w:val="22"/>
      <w:lang w:val="en-GB"/>
    </w:rPr>
  </w:style>
  <w:style w:type="paragraph" w:customStyle="1" w:styleId="997">
    <w:name w:val="glos-def"/>
    <w:basedOn w:val="996"/>
    <w:qFormat/>
    <w:uiPriority w:val="0"/>
    <w:rPr>
      <w:b w:val="0"/>
    </w:rPr>
  </w:style>
  <w:style w:type="paragraph" w:customStyle="1" w:styleId="998">
    <w:name w:val="正文文本 21"/>
    <w:basedOn w:val="1"/>
    <w:qFormat/>
    <w:uiPriority w:val="0"/>
    <w:pPr>
      <w:adjustRightInd w:val="0"/>
      <w:spacing w:line="240" w:lineRule="auto"/>
      <w:ind w:firstLine="567"/>
      <w:textAlignment w:val="baseline"/>
    </w:pPr>
    <w:rPr>
      <w:sz w:val="21"/>
    </w:rPr>
  </w:style>
  <w:style w:type="character" w:customStyle="1" w:styleId="999">
    <w:name w:val="px141"/>
    <w:qFormat/>
    <w:uiPriority w:val="0"/>
    <w:rPr>
      <w:rFonts w:hint="default" w:ascii="ˎ̥" w:hAnsi="ˎ̥"/>
      <w:sz w:val="28"/>
      <w:szCs w:val="28"/>
    </w:rPr>
  </w:style>
  <w:style w:type="paragraph" w:customStyle="1" w:styleId="1000">
    <w:name w:val="B6"/>
    <w:basedOn w:val="1"/>
    <w:qFormat/>
    <w:uiPriority w:val="0"/>
    <w:pPr>
      <w:adjustRightInd w:val="0"/>
      <w:spacing w:after="120" w:line="240" w:lineRule="auto"/>
      <w:jc w:val="center"/>
    </w:pPr>
    <w:rPr>
      <w:rFonts w:ascii="方正黑体简体" w:eastAsia="方正黑体简体"/>
      <w:kern w:val="10"/>
      <w:sz w:val="18"/>
    </w:rPr>
  </w:style>
  <w:style w:type="paragraph" w:customStyle="1" w:styleId="1001">
    <w:name w:val="B7"/>
    <w:basedOn w:val="1"/>
    <w:qFormat/>
    <w:uiPriority w:val="0"/>
    <w:pPr>
      <w:adjustRightInd w:val="0"/>
      <w:snapToGrid w:val="0"/>
      <w:spacing w:before="160" w:after="120" w:line="240" w:lineRule="auto"/>
      <w:jc w:val="center"/>
    </w:pPr>
    <w:rPr>
      <w:rFonts w:eastAsia="华文宋体"/>
      <w:kern w:val="10"/>
      <w:sz w:val="20"/>
    </w:rPr>
  </w:style>
  <w:style w:type="paragraph" w:customStyle="1" w:styleId="1002">
    <w:name w:val="编号-1"/>
    <w:basedOn w:val="1"/>
    <w:qFormat/>
    <w:uiPriority w:val="0"/>
    <w:pPr>
      <w:adjustRightInd w:val="0"/>
      <w:snapToGrid w:val="0"/>
      <w:spacing w:line="520" w:lineRule="exact"/>
    </w:pPr>
    <w:rPr>
      <w:rFonts w:eastAsia="黑体"/>
    </w:rPr>
  </w:style>
  <w:style w:type="paragraph" w:customStyle="1" w:styleId="1003">
    <w:name w:val="5级"/>
    <w:basedOn w:val="1"/>
    <w:qFormat/>
    <w:uiPriority w:val="0"/>
    <w:pPr>
      <w:adjustRightInd w:val="0"/>
      <w:spacing w:line="520" w:lineRule="exact"/>
      <w:textAlignment w:val="baseline"/>
    </w:pPr>
    <w:rPr>
      <w:kern w:val="0"/>
      <w:sz w:val="28"/>
    </w:rPr>
  </w:style>
  <w:style w:type="paragraph" w:customStyle="1" w:styleId="1004">
    <w:name w:val="样式 普通文本 + 首行缩进:  2 字符1"/>
    <w:basedOn w:val="978"/>
    <w:qFormat/>
    <w:uiPriority w:val="0"/>
    <w:pPr>
      <w:ind w:firstLine="480"/>
    </w:pPr>
    <w:rPr>
      <w:rFonts w:cs="宋体"/>
      <w:szCs w:val="20"/>
    </w:rPr>
  </w:style>
  <w:style w:type="paragraph" w:customStyle="1" w:styleId="1005">
    <w:name w:val="正文段落 m14"/>
    <w:link w:val="1006"/>
    <w:qFormat/>
    <w:uiPriority w:val="0"/>
    <w:pPr>
      <w:adjustRightInd w:val="0"/>
      <w:snapToGrid w:val="0"/>
      <w:spacing w:before="120" w:beforeLines="50" w:line="360" w:lineRule="auto"/>
      <w:ind w:left="709" w:firstLine="480" w:firstLineChars="200"/>
    </w:pPr>
    <w:rPr>
      <w:rFonts w:ascii="Times New Roman" w:hAnsi="Times New Roman" w:eastAsia="宋体" w:cs="Times New Roman"/>
      <w:sz w:val="24"/>
      <w:lang w:val="en-US" w:eastAsia="zh-CN" w:bidi="ar-SA"/>
    </w:rPr>
  </w:style>
  <w:style w:type="character" w:customStyle="1" w:styleId="1006">
    <w:name w:val="正文段落 m14 Char"/>
    <w:link w:val="1005"/>
    <w:qFormat/>
    <w:uiPriority w:val="0"/>
    <w:rPr>
      <w:sz w:val="24"/>
      <w:lang w:val="en-US" w:eastAsia="zh-CN" w:bidi="ar-SA"/>
    </w:rPr>
  </w:style>
  <w:style w:type="paragraph" w:customStyle="1" w:styleId="1007">
    <w:name w:val="表格字体"/>
    <w:basedOn w:val="1"/>
    <w:qFormat/>
    <w:uiPriority w:val="0"/>
    <w:pPr>
      <w:spacing w:line="240" w:lineRule="auto"/>
      <w:jc w:val="center"/>
    </w:pPr>
    <w:rPr>
      <w:rFonts w:ascii="宋体"/>
      <w:szCs w:val="24"/>
    </w:rPr>
  </w:style>
  <w:style w:type="paragraph" w:customStyle="1" w:styleId="1008">
    <w:name w:val="Char Char Char Char Char Char Char Char Char"/>
    <w:basedOn w:val="1"/>
    <w:qFormat/>
    <w:uiPriority w:val="0"/>
    <w:pPr>
      <w:widowControl/>
      <w:spacing w:after="160" w:line="240" w:lineRule="exact"/>
    </w:pPr>
    <w:rPr>
      <w:sz w:val="28"/>
      <w:szCs w:val="28"/>
    </w:rPr>
  </w:style>
  <w:style w:type="paragraph" w:customStyle="1" w:styleId="1009">
    <w:name w:val="样式 样式 普通文本 + 首行缩进:  2 字符 + 首行缩进:  2 字符"/>
    <w:basedOn w:val="970"/>
    <w:qFormat/>
    <w:uiPriority w:val="0"/>
    <w:pPr>
      <w:ind w:firstLine="560"/>
    </w:pPr>
  </w:style>
  <w:style w:type="paragraph" w:customStyle="1" w:styleId="1010">
    <w:name w:val="样式 四号 行距: 固定值 25 磅"/>
    <w:basedOn w:val="1"/>
    <w:qFormat/>
    <w:uiPriority w:val="0"/>
    <w:pPr>
      <w:spacing w:line="500" w:lineRule="exact"/>
      <w:ind w:firstLine="560" w:firstLineChars="200"/>
    </w:pPr>
    <w:rPr>
      <w:rFonts w:ascii="Arial" w:hAnsi="Arial" w:cs="宋体"/>
    </w:rPr>
  </w:style>
  <w:style w:type="character" w:customStyle="1" w:styleId="1011">
    <w:name w:val="样式 样式 小四 行距: 固定值 27 磅 + 首行缩进:  2 字符 Char"/>
    <w:link w:val="967"/>
    <w:qFormat/>
    <w:uiPriority w:val="0"/>
    <w:rPr>
      <w:rFonts w:eastAsia="宋体" w:cs="宋体"/>
      <w:kern w:val="2"/>
      <w:sz w:val="24"/>
      <w:lang w:val="en-US" w:eastAsia="zh-CN" w:bidi="ar-SA"/>
    </w:rPr>
  </w:style>
  <w:style w:type="paragraph" w:customStyle="1" w:styleId="1012">
    <w:name w:val="样式 表格正文 + 首行缩进:  2 字符"/>
    <w:basedOn w:val="344"/>
    <w:qFormat/>
    <w:uiPriority w:val="0"/>
    <w:pPr>
      <w:widowControl w:val="0"/>
      <w:adjustRightInd w:val="0"/>
      <w:spacing w:line="520" w:lineRule="exact"/>
      <w:ind w:left="0" w:leftChars="0" w:firstLine="0"/>
      <w:jc w:val="center"/>
    </w:pPr>
    <w:rPr>
      <w:rFonts w:ascii="Times New Roman" w:hAnsi="Times New Roman" w:eastAsia="宋体" w:cs="宋体"/>
      <w:kern w:val="2"/>
      <w:sz w:val="26"/>
    </w:rPr>
  </w:style>
  <w:style w:type="paragraph" w:customStyle="1" w:styleId="1013">
    <w:name w:val="标题 2-"/>
    <w:basedOn w:val="4"/>
    <w:qFormat/>
    <w:uiPriority w:val="0"/>
    <w:pPr>
      <w:numPr>
        <w:ilvl w:val="0"/>
        <w:numId w:val="0"/>
      </w:numPr>
      <w:spacing w:before="240" w:after="120"/>
      <w:jc w:val="center"/>
    </w:pPr>
  </w:style>
  <w:style w:type="paragraph" w:customStyle="1" w:styleId="1014">
    <w:name w:val="普通文字"/>
    <w:basedOn w:val="1"/>
    <w:qFormat/>
    <w:uiPriority w:val="0"/>
    <w:pPr>
      <w:widowControl/>
      <w:spacing w:line="351" w:lineRule="atLeast"/>
      <w:ind w:firstLine="419"/>
      <w:textAlignment w:val="baseline"/>
    </w:pPr>
    <w:rPr>
      <w:rFonts w:ascii="宋体"/>
      <w:color w:val="000000"/>
      <w:kern w:val="0"/>
      <w:sz w:val="21"/>
      <w:u w:color="000000"/>
    </w:rPr>
  </w:style>
  <w:style w:type="paragraph" w:customStyle="1" w:styleId="1015">
    <w:name w:val="样式 正文文本缩进 2 + 仿宋_GB2312 14 磅 段后: 0 磅 行距: 固定值 28 磅"/>
    <w:basedOn w:val="1"/>
    <w:qFormat/>
    <w:uiPriority w:val="0"/>
    <w:pPr>
      <w:adjustRightInd w:val="0"/>
      <w:snapToGrid w:val="0"/>
      <w:spacing w:line="560" w:lineRule="exact"/>
      <w:ind w:firstLine="200" w:firstLineChars="200"/>
    </w:pPr>
    <w:rPr>
      <w:rFonts w:ascii="仿宋_GB2312" w:eastAsia="仿宋_GB2312" w:cs="宋体"/>
      <w:sz w:val="28"/>
    </w:rPr>
  </w:style>
  <w:style w:type="paragraph" w:customStyle="1" w:styleId="1016">
    <w:name w:val="11号线三级目录"/>
    <w:basedOn w:val="5"/>
    <w:qFormat/>
    <w:uiPriority w:val="0"/>
    <w:pPr>
      <w:numPr>
        <w:ilvl w:val="0"/>
        <w:numId w:val="0"/>
      </w:numPr>
      <w:ind w:firstLine="605" w:firstLineChars="200"/>
    </w:pPr>
    <w:rPr>
      <w:rFonts w:hAnsi="宋体"/>
      <w:szCs w:val="28"/>
    </w:rPr>
  </w:style>
  <w:style w:type="paragraph" w:customStyle="1" w:styleId="1017">
    <w:name w:val="沈阳表格"/>
    <w:qFormat/>
    <w:uiPriority w:val="0"/>
    <w:pPr>
      <w:spacing w:line="440" w:lineRule="exact"/>
      <w:ind w:left="709" w:hanging="482"/>
      <w:jc w:val="center"/>
    </w:pPr>
    <w:rPr>
      <w:rFonts w:ascii="Times New Roman" w:hAnsi="Times New Roman" w:eastAsia="宋体" w:cs="Times New Roman"/>
      <w:kern w:val="2"/>
      <w:sz w:val="21"/>
      <w:lang w:val="en-US" w:eastAsia="zh-CN" w:bidi="ar-SA"/>
    </w:rPr>
  </w:style>
  <w:style w:type="paragraph" w:customStyle="1" w:styleId="1018">
    <w:name w:val="沈阳表名"/>
    <w:qFormat/>
    <w:uiPriority w:val="0"/>
    <w:pPr>
      <w:widowControl w:val="0"/>
      <w:spacing w:line="360" w:lineRule="auto"/>
      <w:ind w:left="709" w:hanging="482"/>
      <w:jc w:val="center"/>
    </w:pPr>
    <w:rPr>
      <w:rFonts w:ascii="仿宋_GB2312" w:hAnsi="Times New Roman" w:eastAsia="仿宋_GB2312" w:cs="Times New Roman"/>
      <w:kern w:val="2"/>
      <w:sz w:val="28"/>
      <w:szCs w:val="24"/>
      <w:lang w:val="en-US" w:eastAsia="zh-CN" w:bidi="ar-SA"/>
    </w:rPr>
  </w:style>
  <w:style w:type="paragraph" w:customStyle="1" w:styleId="1019">
    <w:name w:val="样式 宋体 行距: 1.5 倍行距"/>
    <w:basedOn w:val="1"/>
    <w:qFormat/>
    <w:uiPriority w:val="0"/>
    <w:pPr>
      <w:spacing w:line="240" w:lineRule="auto"/>
    </w:pPr>
    <w:rPr>
      <w:rFonts w:ascii="宋体" w:hAnsi="宋体"/>
      <w:sz w:val="21"/>
    </w:rPr>
  </w:style>
  <w:style w:type="paragraph" w:customStyle="1" w:styleId="1020">
    <w:name w:val="Report Level 1"/>
    <w:basedOn w:val="1"/>
    <w:next w:val="1"/>
    <w:qFormat/>
    <w:uiPriority w:val="0"/>
    <w:pPr>
      <w:keepNext/>
      <w:widowControl/>
      <w:tabs>
        <w:tab w:val="left" w:pos="1080"/>
      </w:tabs>
      <w:spacing w:before="240" w:after="120" w:line="240" w:lineRule="auto"/>
      <w:ind w:left="1080" w:hanging="1080"/>
      <w:outlineLvl w:val="0"/>
    </w:pPr>
    <w:rPr>
      <w:rFonts w:ascii="Arial" w:hAnsi="Arial"/>
      <w:b/>
      <w:caps/>
      <w:kern w:val="0"/>
      <w:lang w:val="en-GB" w:eastAsia="en-US"/>
    </w:rPr>
  </w:style>
  <w:style w:type="paragraph" w:customStyle="1" w:styleId="1021">
    <w:name w:val="样式 样式 样式 样式 四号 左 行距: 1.5 倍行距 + 首行缩进:  2 字符 + 首行缩进:  2 字符 + 首行缩进:..."/>
    <w:basedOn w:val="1"/>
    <w:qFormat/>
    <w:uiPriority w:val="0"/>
    <w:pPr>
      <w:ind w:firstLine="200" w:firstLineChars="200"/>
    </w:pPr>
  </w:style>
  <w:style w:type="paragraph" w:customStyle="1" w:styleId="1022">
    <w:name w:val="样式 四号 行距: 1.5 倍行距 首行缩进:  2 字符"/>
    <w:basedOn w:val="1"/>
    <w:qFormat/>
    <w:uiPriority w:val="0"/>
    <w:pPr>
      <w:ind w:firstLine="560" w:firstLineChars="200"/>
    </w:pPr>
  </w:style>
  <w:style w:type="paragraph" w:customStyle="1" w:styleId="1023">
    <w:name w:val="样式 四号 行距: 1.5 倍行距"/>
    <w:basedOn w:val="1"/>
    <w:qFormat/>
    <w:uiPriority w:val="0"/>
  </w:style>
  <w:style w:type="paragraph" w:customStyle="1" w:styleId="1024">
    <w:name w:val="样式 正文1.2 + 两端对齐 行距: 1.5 倍行距"/>
    <w:basedOn w:val="1"/>
    <w:qFormat/>
    <w:uiPriority w:val="0"/>
    <w:pPr>
      <w:ind w:firstLine="560" w:firstLineChars="200"/>
    </w:pPr>
    <w:rPr>
      <w:rFonts w:ascii="宋体"/>
      <w:kern w:val="0"/>
      <w:lang w:eastAsia="en-US"/>
    </w:rPr>
  </w:style>
  <w:style w:type="character" w:customStyle="1" w:styleId="1025">
    <w:name w:val="样式 四号"/>
    <w:qFormat/>
    <w:uiPriority w:val="0"/>
    <w:rPr>
      <w:sz w:val="24"/>
    </w:rPr>
  </w:style>
  <w:style w:type="paragraph" w:customStyle="1" w:styleId="1026">
    <w:name w:val="样式 样式 普通文本 + 首行缩进:  2 字符 + 黑色 首行缩进:  2 字符"/>
    <w:basedOn w:val="970"/>
    <w:qFormat/>
    <w:uiPriority w:val="0"/>
    <w:pPr>
      <w:ind w:firstLine="560"/>
    </w:pPr>
    <w:rPr>
      <w:color w:val="000000"/>
    </w:rPr>
  </w:style>
  <w:style w:type="paragraph" w:customStyle="1" w:styleId="1027">
    <w:name w:val="样式 样式 普通文本 + 首行缩进:  2 字符1 + 首行缩进:  2 字符"/>
    <w:basedOn w:val="1004"/>
    <w:qFormat/>
    <w:uiPriority w:val="0"/>
    <w:pPr>
      <w:ind w:firstLine="560"/>
    </w:pPr>
  </w:style>
  <w:style w:type="paragraph" w:customStyle="1" w:styleId="1028">
    <w:name w:val="样式 样式 四号 行距: 固定值 25 磅 + 首行缩进:  2 字符"/>
    <w:basedOn w:val="970"/>
    <w:qFormat/>
    <w:uiPriority w:val="0"/>
    <w:rPr>
      <w:szCs w:val="28"/>
    </w:rPr>
  </w:style>
  <w:style w:type="paragraph" w:customStyle="1" w:styleId="1029">
    <w:name w:val="样式 四号 行距: 固定值 25 磅1"/>
    <w:basedOn w:val="1"/>
    <w:qFormat/>
    <w:uiPriority w:val="0"/>
    <w:pPr>
      <w:spacing w:line="500" w:lineRule="exact"/>
    </w:pPr>
    <w:rPr>
      <w:rFonts w:ascii="Arial" w:hAnsi="Arial" w:cs="宋体"/>
      <w:szCs w:val="24"/>
    </w:rPr>
  </w:style>
  <w:style w:type="paragraph" w:customStyle="1" w:styleId="1030">
    <w:name w:val="样式 样式 首行缩进:  2 字符 + 四号"/>
    <w:basedOn w:val="161"/>
    <w:link w:val="1031"/>
    <w:qFormat/>
    <w:uiPriority w:val="0"/>
    <w:rPr>
      <w:rFonts w:cs="宋体"/>
    </w:rPr>
  </w:style>
  <w:style w:type="character" w:customStyle="1" w:styleId="1031">
    <w:name w:val="样式 样式 首行缩进:  2 字符 + 四号 Char"/>
    <w:link w:val="1030"/>
    <w:qFormat/>
    <w:uiPriority w:val="0"/>
    <w:rPr>
      <w:rFonts w:eastAsia="宋体" w:cs="宋体"/>
      <w:kern w:val="2"/>
      <w:sz w:val="24"/>
      <w:lang w:val="en-US" w:eastAsia="zh-CN" w:bidi="ar-SA"/>
    </w:rPr>
  </w:style>
  <w:style w:type="paragraph" w:customStyle="1" w:styleId="1032">
    <w:name w:val="样式 四号 行距: 固定值 25 磅2"/>
    <w:basedOn w:val="1"/>
    <w:qFormat/>
    <w:uiPriority w:val="0"/>
    <w:pPr>
      <w:spacing w:line="500" w:lineRule="exact"/>
      <w:ind w:firstLine="200" w:firstLineChars="200"/>
    </w:pPr>
    <w:rPr>
      <w:rFonts w:ascii="Arial" w:hAnsi="Arial" w:cs="宋体"/>
    </w:rPr>
  </w:style>
  <w:style w:type="character" w:customStyle="1" w:styleId="1033">
    <w:name w:val="标题 3 Char Char"/>
    <w:qFormat/>
    <w:uiPriority w:val="0"/>
    <w:rPr>
      <w:rFonts w:ascii="Arial" w:hAnsi="Arial" w:eastAsia="宋体"/>
      <w:b/>
      <w:bCs/>
      <w:kern w:val="2"/>
      <w:sz w:val="24"/>
      <w:szCs w:val="28"/>
      <w:lang w:val="en-US" w:eastAsia="zh-CN" w:bidi="ar-SA"/>
    </w:rPr>
  </w:style>
  <w:style w:type="character" w:customStyle="1" w:styleId="1034">
    <w:name w:val="标题 3 Char2"/>
    <w:qFormat/>
    <w:uiPriority w:val="0"/>
    <w:rPr>
      <w:rFonts w:ascii="Arial" w:hAnsi="Arial" w:eastAsia="黑体"/>
      <w:sz w:val="28"/>
      <w:lang w:val="en-US" w:eastAsia="zh-CN" w:bidi="ar-SA"/>
    </w:rPr>
  </w:style>
  <w:style w:type="paragraph" w:customStyle="1" w:styleId="1035">
    <w:name w:val="样式 正文文本缩进 2 + 宋体 小四 首行缩进:  2 字符 段前: 2.4 磅 行距: 1.5 倍行距"/>
    <w:basedOn w:val="51"/>
    <w:qFormat/>
    <w:uiPriority w:val="0"/>
    <w:pPr>
      <w:adjustRightInd w:val="0"/>
      <w:snapToGrid w:val="0"/>
      <w:spacing w:line="500" w:lineRule="exact"/>
      <w:ind w:left="0" w:leftChars="0" w:firstLine="200" w:firstLineChars="200"/>
    </w:pPr>
    <w:rPr>
      <w:rFonts w:ascii="宋体" w:hAnsi="宋体" w:cs="宋体"/>
    </w:rPr>
  </w:style>
  <w:style w:type="character" w:customStyle="1" w:styleId="1036">
    <w:name w:val="第六层条 Char"/>
    <w:qFormat/>
    <w:uiPriority w:val="0"/>
    <w:rPr>
      <w:rFonts w:ascii="Arial" w:hAnsi="Arial" w:eastAsia="宋体"/>
      <w:b/>
      <w:bCs/>
      <w:kern w:val="2"/>
      <w:sz w:val="24"/>
      <w:szCs w:val="24"/>
      <w:lang w:val="en-US" w:eastAsia="zh-CN" w:bidi="ar-SA"/>
    </w:rPr>
  </w:style>
  <w:style w:type="paragraph" w:customStyle="1" w:styleId="1037">
    <w:name w:val="文中公式"/>
    <w:basedOn w:val="1"/>
    <w:qFormat/>
    <w:uiPriority w:val="0"/>
    <w:pPr>
      <w:spacing w:line="240" w:lineRule="auto"/>
      <w:jc w:val="center"/>
    </w:pPr>
    <w:rPr>
      <w:rFonts w:cs="宋体"/>
    </w:rPr>
  </w:style>
  <w:style w:type="paragraph" w:customStyle="1" w:styleId="1038">
    <w:name w:val="表名"/>
    <w:basedOn w:val="1"/>
    <w:qFormat/>
    <w:uiPriority w:val="0"/>
    <w:pPr>
      <w:spacing w:before="240" w:after="120" w:line="240" w:lineRule="auto"/>
      <w:jc w:val="center"/>
    </w:pPr>
    <w:rPr>
      <w:rFonts w:ascii="宋体"/>
      <w:b/>
      <w:szCs w:val="24"/>
    </w:rPr>
  </w:style>
  <w:style w:type="paragraph" w:customStyle="1" w:styleId="1039">
    <w:name w:val="图名"/>
    <w:basedOn w:val="1"/>
    <w:qFormat/>
    <w:uiPriority w:val="0"/>
    <w:pPr>
      <w:spacing w:before="120" w:after="240" w:line="240" w:lineRule="auto"/>
      <w:jc w:val="center"/>
    </w:pPr>
    <w:rPr>
      <w:rFonts w:ascii="宋体" w:cs="宋体"/>
      <w:b/>
    </w:rPr>
  </w:style>
  <w:style w:type="character" w:customStyle="1" w:styleId="1040">
    <w:name w:val="标示2"/>
    <w:qFormat/>
    <w:uiPriority w:val="0"/>
    <w:rPr>
      <w:color w:val="FF0000"/>
    </w:rPr>
  </w:style>
  <w:style w:type="character" w:customStyle="1" w:styleId="1041">
    <w:name w:val="样式 首行缩进:  2 字符 Char Char"/>
    <w:qFormat/>
    <w:uiPriority w:val="0"/>
    <w:rPr>
      <w:rFonts w:ascii="仿宋_GB2312" w:eastAsia="宋体" w:cs="宋体"/>
      <w:b/>
      <w:kern w:val="2"/>
      <w:sz w:val="24"/>
      <w:szCs w:val="32"/>
      <w:lang w:val="en-US" w:eastAsia="zh-CN" w:bidi="ar-SA"/>
    </w:rPr>
  </w:style>
  <w:style w:type="character" w:customStyle="1" w:styleId="1042">
    <w:name w:val="样式 (符号) 宋体"/>
    <w:basedOn w:val="92"/>
    <w:qFormat/>
    <w:uiPriority w:val="0"/>
  </w:style>
  <w:style w:type="character" w:customStyle="1" w:styleId="1043">
    <w:name w:val="标题 3 Char Char1"/>
    <w:qFormat/>
    <w:uiPriority w:val="0"/>
    <w:rPr>
      <w:rFonts w:eastAsia="黑体"/>
      <w:bCs/>
      <w:kern w:val="2"/>
      <w:sz w:val="28"/>
      <w:szCs w:val="28"/>
      <w:lang w:val="en-US" w:eastAsia="zh-CN" w:bidi="ar-SA"/>
    </w:rPr>
  </w:style>
  <w:style w:type="character" w:customStyle="1" w:styleId="1044">
    <w:name w:val="标题 6 Char"/>
    <w:qFormat/>
    <w:uiPriority w:val="0"/>
    <w:rPr>
      <w:rFonts w:eastAsia="宋体"/>
      <w:bCs/>
      <w:kern w:val="2"/>
      <w:sz w:val="24"/>
      <w:szCs w:val="24"/>
      <w:lang w:val="en-US" w:eastAsia="zh-CN" w:bidi="ar-SA"/>
    </w:rPr>
  </w:style>
  <w:style w:type="character" w:customStyle="1" w:styleId="1045">
    <w:name w:val="标题 7 Char"/>
    <w:qFormat/>
    <w:uiPriority w:val="0"/>
    <w:rPr>
      <w:rFonts w:eastAsia="宋体"/>
      <w:bCs/>
      <w:kern w:val="2"/>
      <w:sz w:val="24"/>
      <w:szCs w:val="24"/>
      <w:lang w:val="en-US" w:eastAsia="zh-CN" w:bidi="ar-SA"/>
    </w:rPr>
  </w:style>
  <w:style w:type="paragraph" w:customStyle="1" w:styleId="1046">
    <w:name w:val="样式 9号线正文 + 首行缩进:  2 字符"/>
    <w:basedOn w:val="1"/>
    <w:qFormat/>
    <w:uiPriority w:val="0"/>
    <w:pPr>
      <w:overflowPunct w:val="0"/>
      <w:spacing w:line="560" w:lineRule="exact"/>
      <w:ind w:firstLine="200" w:firstLineChars="200"/>
    </w:pPr>
    <w:rPr>
      <w:rFonts w:ascii="宋体" w:hAnsi="宋体"/>
      <w:kern w:val="0"/>
      <w:sz w:val="26"/>
    </w:rPr>
  </w:style>
  <w:style w:type="paragraph" w:customStyle="1" w:styleId="1047">
    <w:name w:val="表注"/>
    <w:basedOn w:val="149"/>
    <w:qFormat/>
    <w:uiPriority w:val="0"/>
    <w:pPr>
      <w:jc w:val="both"/>
    </w:pPr>
    <w:rPr>
      <w:rFonts w:cs="宋体"/>
    </w:rPr>
  </w:style>
  <w:style w:type="paragraph" w:customStyle="1" w:styleId="1048">
    <w:name w:val="标准文本"/>
    <w:basedOn w:val="1"/>
    <w:qFormat/>
    <w:uiPriority w:val="0"/>
    <w:pPr>
      <w:spacing w:line="400" w:lineRule="exact"/>
      <w:ind w:firstLine="480" w:firstLineChars="200"/>
    </w:pPr>
    <w:rPr>
      <w:rFonts w:ascii="黑体" w:hAnsi="宋体"/>
      <w:color w:val="0000FF"/>
    </w:rPr>
  </w:style>
  <w:style w:type="character" w:customStyle="1" w:styleId="1049">
    <w:name w:val="标题 4 Char Char1"/>
    <w:qFormat/>
    <w:uiPriority w:val="0"/>
    <w:rPr>
      <w:rFonts w:eastAsia="黑体"/>
      <w:bCs/>
      <w:kern w:val="2"/>
      <w:sz w:val="28"/>
      <w:szCs w:val="28"/>
      <w:lang w:val="en-US" w:eastAsia="zh-CN" w:bidi="ar-SA"/>
    </w:rPr>
  </w:style>
  <w:style w:type="paragraph" w:customStyle="1" w:styleId="1050">
    <w:name w:val="样式 标题 5标题 1)第四层条第五层H5dsddRoman listh5PIM 5Block Label..."/>
    <w:basedOn w:val="7"/>
    <w:qFormat/>
    <w:uiPriority w:val="0"/>
    <w:pPr>
      <w:keepNext w:val="0"/>
      <w:keepLines w:val="0"/>
      <w:numPr>
        <w:ilvl w:val="0"/>
        <w:numId w:val="0"/>
      </w:numPr>
      <w:tabs>
        <w:tab w:val="left" w:pos="2100"/>
      </w:tabs>
      <w:spacing w:before="0" w:after="0" w:line="480" w:lineRule="exact"/>
      <w:ind w:left="994" w:hanging="454"/>
      <w:jc w:val="both"/>
    </w:pPr>
    <w:rPr>
      <w:rFonts w:ascii="Times New Roman" w:hAnsi="Times New Roman"/>
      <w:kern w:val="0"/>
      <w:szCs w:val="28"/>
    </w:rPr>
  </w:style>
  <w:style w:type="paragraph" w:customStyle="1" w:styleId="1051">
    <w:name w:val="样式 标题 5标题 1)第四层条第五层H5dsddRoman listh5PIM 5Block Label...1"/>
    <w:basedOn w:val="7"/>
    <w:next w:val="1050"/>
    <w:qFormat/>
    <w:uiPriority w:val="0"/>
    <w:pPr>
      <w:keepNext w:val="0"/>
      <w:keepLines w:val="0"/>
      <w:numPr>
        <w:ilvl w:val="0"/>
        <w:numId w:val="0"/>
      </w:numPr>
      <w:tabs>
        <w:tab w:val="left" w:pos="2100"/>
      </w:tabs>
      <w:spacing w:before="0" w:after="0" w:line="480" w:lineRule="exact"/>
      <w:ind w:left="994" w:hanging="454"/>
      <w:jc w:val="both"/>
    </w:pPr>
    <w:rPr>
      <w:rFonts w:ascii="Times New Roman" w:hAnsi="Times New Roman"/>
      <w:kern w:val="0"/>
      <w:szCs w:val="28"/>
    </w:rPr>
  </w:style>
  <w:style w:type="paragraph" w:customStyle="1" w:styleId="1052">
    <w:name w:val="样式 居中"/>
    <w:basedOn w:val="1"/>
    <w:qFormat/>
    <w:uiPriority w:val="0"/>
    <w:pPr>
      <w:snapToGrid w:val="0"/>
      <w:spacing w:line="240" w:lineRule="auto"/>
      <w:jc w:val="center"/>
    </w:pPr>
    <w:rPr>
      <w:rFonts w:cs="宋体"/>
    </w:rPr>
  </w:style>
  <w:style w:type="paragraph" w:customStyle="1" w:styleId="1053">
    <w:name w:val="CM1"/>
    <w:basedOn w:val="209"/>
    <w:next w:val="209"/>
    <w:qFormat/>
    <w:uiPriority w:val="0"/>
    <w:pPr>
      <w:widowControl w:val="0"/>
      <w:spacing w:line="480" w:lineRule="atLeast"/>
    </w:pPr>
    <w:rPr>
      <w:rFonts w:ascii="宋体"/>
      <w:color w:val="auto"/>
      <w:szCs w:val="24"/>
      <w:lang w:eastAsia="zh-CN"/>
    </w:rPr>
  </w:style>
  <w:style w:type="paragraph" w:customStyle="1" w:styleId="1054">
    <w:name w:val="编号(1)"/>
    <w:basedOn w:val="1"/>
    <w:qFormat/>
    <w:uiPriority w:val="0"/>
    <w:pPr>
      <w:numPr>
        <w:ilvl w:val="0"/>
        <w:numId w:val="11"/>
      </w:numPr>
      <w:tabs>
        <w:tab w:val="left" w:pos="547"/>
        <w:tab w:val="left" w:pos="1080"/>
      </w:tabs>
      <w:spacing w:line="480" w:lineRule="atLeast"/>
    </w:pPr>
    <w:rPr>
      <w:sz w:val="28"/>
      <w:szCs w:val="24"/>
    </w:rPr>
  </w:style>
  <w:style w:type="paragraph" w:customStyle="1" w:styleId="1055">
    <w:name w:val="编号1."/>
    <w:basedOn w:val="1"/>
    <w:qFormat/>
    <w:uiPriority w:val="0"/>
    <w:pPr>
      <w:numPr>
        <w:ilvl w:val="0"/>
        <w:numId w:val="12"/>
      </w:numPr>
      <w:tabs>
        <w:tab w:val="left" w:pos="547"/>
        <w:tab w:val="left" w:pos="1080"/>
      </w:tabs>
      <w:spacing w:line="480" w:lineRule="atLeast"/>
    </w:pPr>
    <w:rPr>
      <w:sz w:val="28"/>
      <w:szCs w:val="24"/>
    </w:rPr>
  </w:style>
  <w:style w:type="paragraph" w:customStyle="1" w:styleId="1056">
    <w:name w:val="ClauseNum 3"/>
    <w:basedOn w:val="5"/>
    <w:qFormat/>
    <w:uiPriority w:val="0"/>
    <w:pPr>
      <w:keepLines w:val="0"/>
      <w:numPr>
        <w:ilvl w:val="0"/>
        <w:numId w:val="0"/>
      </w:numPr>
      <w:tabs>
        <w:tab w:val="left" w:pos="1260"/>
      </w:tabs>
      <w:spacing w:after="120" w:line="240" w:lineRule="auto"/>
      <w:ind w:left="1260" w:hanging="420"/>
    </w:pPr>
    <w:rPr>
      <w:rFonts w:ascii="Arial"/>
      <w:b/>
      <w:kern w:val="0"/>
      <w:sz w:val="20"/>
      <w:lang w:val="en-GB"/>
    </w:rPr>
  </w:style>
  <w:style w:type="paragraph" w:customStyle="1" w:styleId="1057">
    <w:name w:val="样式 标题2 1.1 + 段前: 0 磅 段后: 0 磅"/>
    <w:basedOn w:val="1"/>
    <w:qFormat/>
    <w:uiPriority w:val="0"/>
    <w:pPr>
      <w:keepNext/>
      <w:tabs>
        <w:tab w:val="left" w:pos="576"/>
      </w:tabs>
      <w:spacing w:line="480" w:lineRule="atLeast"/>
      <w:ind w:left="576" w:hanging="576"/>
      <w:outlineLvl w:val="1"/>
    </w:pPr>
    <w:rPr>
      <w:sz w:val="28"/>
    </w:rPr>
  </w:style>
  <w:style w:type="paragraph" w:customStyle="1" w:styleId="1058">
    <w:name w:val="Report Text"/>
    <w:basedOn w:val="1"/>
    <w:qFormat/>
    <w:uiPriority w:val="0"/>
    <w:pPr>
      <w:widowControl/>
      <w:spacing w:after="138" w:line="240" w:lineRule="auto"/>
      <w:ind w:left="1080"/>
    </w:pPr>
    <w:rPr>
      <w:kern w:val="0"/>
      <w:sz w:val="22"/>
      <w:lang w:val="en-GB"/>
    </w:rPr>
  </w:style>
  <w:style w:type="character" w:customStyle="1" w:styleId="1059">
    <w:name w:val="标题 7 Char Char"/>
    <w:qFormat/>
    <w:uiPriority w:val="0"/>
    <w:rPr>
      <w:rFonts w:eastAsia="宋体"/>
      <w:bCs/>
      <w:kern w:val="2"/>
      <w:sz w:val="24"/>
      <w:szCs w:val="24"/>
      <w:lang w:val="en-US" w:eastAsia="zh-CN" w:bidi="ar-SA"/>
    </w:rPr>
  </w:style>
  <w:style w:type="character" w:customStyle="1" w:styleId="1060">
    <w:name w:val="标题 6 Char Char"/>
    <w:qFormat/>
    <w:uiPriority w:val="0"/>
    <w:rPr>
      <w:rFonts w:eastAsia="宋体"/>
      <w:bCs/>
      <w:kern w:val="2"/>
      <w:sz w:val="24"/>
      <w:szCs w:val="24"/>
      <w:lang w:val="en-US" w:eastAsia="zh-CN" w:bidi="ar-SA"/>
    </w:rPr>
  </w:style>
  <w:style w:type="paragraph" w:customStyle="1" w:styleId="1061">
    <w:name w:val="P3-bull"/>
    <w:basedOn w:val="1"/>
    <w:qFormat/>
    <w:uiPriority w:val="0"/>
    <w:pPr>
      <w:widowControl/>
      <w:tabs>
        <w:tab w:val="left" w:pos="432"/>
        <w:tab w:val="left" w:pos="2880"/>
      </w:tabs>
      <w:overflowPunct w:val="0"/>
      <w:autoSpaceDE w:val="0"/>
      <w:autoSpaceDN w:val="0"/>
      <w:adjustRightInd w:val="0"/>
      <w:spacing w:after="120"/>
      <w:ind w:left="2880" w:hanging="720"/>
      <w:textAlignment w:val="baseline"/>
    </w:pPr>
    <w:rPr>
      <w:spacing w:val="20"/>
      <w:kern w:val="0"/>
      <w:lang w:eastAsia="zh-TW"/>
    </w:rPr>
  </w:style>
  <w:style w:type="paragraph" w:customStyle="1" w:styleId="1062">
    <w:name w:val="style0"/>
    <w:basedOn w:val="1"/>
    <w:qFormat/>
    <w:uiPriority w:val="0"/>
    <w:pPr>
      <w:widowControl/>
      <w:spacing w:before="100" w:beforeAutospacing="1" w:after="100" w:afterAutospacing="1" w:line="240" w:lineRule="auto"/>
      <w:textAlignment w:val="bottom"/>
    </w:pPr>
    <w:rPr>
      <w:rFonts w:eastAsia="Arial Unicode MS"/>
      <w:kern w:val="0"/>
    </w:rPr>
  </w:style>
  <w:style w:type="paragraph" w:customStyle="1" w:styleId="1063">
    <w:name w:val="P4-bull"/>
    <w:basedOn w:val="1"/>
    <w:qFormat/>
    <w:uiPriority w:val="0"/>
    <w:pPr>
      <w:widowControl/>
      <w:tabs>
        <w:tab w:val="left" w:pos="1486"/>
        <w:tab w:val="left" w:pos="3600"/>
        <w:tab w:val="left" w:pos="4680"/>
      </w:tabs>
      <w:overflowPunct w:val="0"/>
      <w:autoSpaceDE w:val="0"/>
      <w:autoSpaceDN w:val="0"/>
      <w:adjustRightInd w:val="0"/>
      <w:spacing w:after="120"/>
      <w:ind w:left="1486" w:hanging="420"/>
      <w:textAlignment w:val="baseline"/>
    </w:pPr>
    <w:rPr>
      <w:spacing w:val="20"/>
      <w:kern w:val="0"/>
    </w:rPr>
  </w:style>
  <w:style w:type="paragraph" w:customStyle="1" w:styleId="1064">
    <w:name w:val="Sub Text"/>
    <w:basedOn w:val="1"/>
    <w:qFormat/>
    <w:uiPriority w:val="0"/>
    <w:pPr>
      <w:widowControl/>
      <w:spacing w:after="120" w:line="260" w:lineRule="atLeast"/>
    </w:pPr>
    <w:rPr>
      <w:rFonts w:ascii="Arial" w:hAnsi="Arial" w:eastAsia="MS Mincho"/>
      <w:kern w:val="0"/>
      <w:sz w:val="22"/>
      <w:lang w:val="en-GB" w:eastAsia="en-US"/>
    </w:rPr>
  </w:style>
  <w:style w:type="paragraph" w:customStyle="1" w:styleId="1065">
    <w:name w:val="三级标题样式"/>
    <w:basedOn w:val="1"/>
    <w:qFormat/>
    <w:uiPriority w:val="0"/>
    <w:pPr>
      <w:widowControl/>
      <w:spacing w:after="156" w:afterLines="50" w:line="240" w:lineRule="auto"/>
      <w:outlineLvl w:val="2"/>
    </w:pPr>
    <w:rPr>
      <w:rFonts w:ascii="黑体" w:hAnsi="黑体" w:eastAsia="黑体"/>
      <w:b/>
      <w:kern w:val="0"/>
      <w:sz w:val="28"/>
      <w:szCs w:val="28"/>
    </w:rPr>
  </w:style>
  <w:style w:type="paragraph" w:customStyle="1" w:styleId="1066">
    <w:name w:val="段落样式"/>
    <w:basedOn w:val="1"/>
    <w:link w:val="1069"/>
    <w:qFormat/>
    <w:uiPriority w:val="0"/>
    <w:pPr>
      <w:widowControl/>
      <w:spacing w:after="156" w:afterLines="50" w:line="288" w:lineRule="auto"/>
    </w:pPr>
    <w:rPr>
      <w:rFonts w:ascii="黑体" w:hAnsi="黑体"/>
      <w:kern w:val="0"/>
      <w:szCs w:val="24"/>
    </w:rPr>
  </w:style>
  <w:style w:type="paragraph" w:customStyle="1" w:styleId="1067">
    <w:name w:val="图片标题样式"/>
    <w:basedOn w:val="1"/>
    <w:qFormat/>
    <w:uiPriority w:val="0"/>
    <w:pPr>
      <w:widowControl/>
      <w:spacing w:before="156" w:beforeLines="50" w:line="240" w:lineRule="auto"/>
      <w:jc w:val="center"/>
    </w:pPr>
    <w:rPr>
      <w:b/>
      <w:kern w:val="0"/>
      <w:sz w:val="21"/>
      <w:szCs w:val="24"/>
    </w:rPr>
  </w:style>
  <w:style w:type="paragraph" w:customStyle="1" w:styleId="1068">
    <w:name w:val="四级标题样式"/>
    <w:basedOn w:val="1065"/>
    <w:qFormat/>
    <w:uiPriority w:val="0"/>
    <w:pPr>
      <w:outlineLvl w:val="3"/>
    </w:pPr>
  </w:style>
  <w:style w:type="character" w:customStyle="1" w:styleId="1069">
    <w:name w:val="段落样式 Char"/>
    <w:link w:val="1066"/>
    <w:qFormat/>
    <w:uiPriority w:val="0"/>
    <w:rPr>
      <w:rFonts w:ascii="黑体" w:hAnsi="黑体" w:eastAsia="宋体"/>
      <w:sz w:val="24"/>
      <w:szCs w:val="24"/>
      <w:lang w:val="en-US" w:eastAsia="zh-CN" w:bidi="ar-SA"/>
    </w:rPr>
  </w:style>
  <w:style w:type="paragraph" w:customStyle="1" w:styleId="1070">
    <w:name w:val="B5"/>
    <w:basedOn w:val="1"/>
    <w:qFormat/>
    <w:uiPriority w:val="0"/>
    <w:pPr>
      <w:adjustRightInd w:val="0"/>
      <w:snapToGrid w:val="0"/>
      <w:spacing w:before="120" w:after="60" w:line="240" w:lineRule="auto"/>
      <w:jc w:val="center"/>
    </w:pPr>
    <w:rPr>
      <w:rFonts w:ascii="方正黑体简体" w:eastAsia="方正黑体简体"/>
      <w:sz w:val="18"/>
    </w:rPr>
  </w:style>
  <w:style w:type="paragraph" w:customStyle="1" w:styleId="1071">
    <w:name w:val="小标3"/>
    <w:basedOn w:val="1"/>
    <w:next w:val="1"/>
    <w:qFormat/>
    <w:uiPriority w:val="0"/>
    <w:pPr>
      <w:tabs>
        <w:tab w:val="left" w:pos="425"/>
      </w:tabs>
      <w:spacing w:line="400" w:lineRule="exact"/>
      <w:ind w:left="425" w:firstLine="200" w:firstLineChars="200"/>
    </w:pPr>
    <w:rPr>
      <w:rFonts w:ascii="宋体"/>
      <w:szCs w:val="24"/>
    </w:rPr>
  </w:style>
  <w:style w:type="character" w:customStyle="1" w:styleId="1072">
    <w:name w:val="样式 标题 3标题 3 Char标题 3 Char Chartítulo 3标题 3 Char1标题 3 Char C...1 Char"/>
    <w:qFormat/>
    <w:uiPriority w:val="0"/>
    <w:rPr>
      <w:rFonts w:ascii="Arial" w:hAnsi="Arial" w:eastAsia="宋体" w:cs="宋体"/>
      <w:b/>
      <w:bCs/>
      <w:color w:val="000000"/>
      <w:kern w:val="2"/>
      <w:sz w:val="28"/>
      <w:szCs w:val="32"/>
      <w:lang w:val="en-US" w:eastAsia="zh-CN" w:bidi="ar-SA"/>
    </w:rPr>
  </w:style>
  <w:style w:type="paragraph" w:customStyle="1" w:styleId="1073">
    <w:name w:val="样式 标题 3标题 3 Char标题 3 Char Chartítulo 3标题 3 Char1标题 3 Char C...1"/>
    <w:basedOn w:val="5"/>
    <w:qFormat/>
    <w:uiPriority w:val="0"/>
    <w:pPr>
      <w:numPr>
        <w:ilvl w:val="0"/>
        <w:numId w:val="0"/>
      </w:numPr>
      <w:spacing w:before="240" w:after="120" w:line="500" w:lineRule="exact"/>
    </w:pPr>
    <w:rPr>
      <w:rFonts w:cs="宋体"/>
      <w:b/>
      <w:bCs w:val="0"/>
      <w:kern w:val="0"/>
      <w:sz w:val="28"/>
    </w:rPr>
  </w:style>
  <w:style w:type="paragraph" w:customStyle="1" w:styleId="1074">
    <w:name w:val="标题3 m14"/>
    <w:qFormat/>
    <w:uiPriority w:val="0"/>
    <w:pPr>
      <w:adjustRightInd w:val="0"/>
      <w:snapToGrid w:val="0"/>
      <w:spacing w:before="120" w:beforeLines="50" w:line="360" w:lineRule="auto"/>
      <w:ind w:left="709" w:hanging="482"/>
      <w:outlineLvl w:val="2"/>
    </w:pPr>
    <w:rPr>
      <w:rFonts w:ascii="黑体" w:hAnsi="Times New Roman" w:eastAsia="黑体" w:cs="宋体"/>
      <w:kern w:val="2"/>
      <w:sz w:val="24"/>
      <w:lang w:val="en-US" w:eastAsia="zh-CN" w:bidi="ar-SA"/>
    </w:rPr>
  </w:style>
  <w:style w:type="character" w:customStyle="1" w:styleId="1075">
    <w:name w:val="11 Char"/>
    <w:qFormat/>
    <w:uiPriority w:val="0"/>
    <w:rPr>
      <w:rFonts w:eastAsia="黑体"/>
      <w:bCs/>
      <w:kern w:val="44"/>
      <w:sz w:val="32"/>
      <w:szCs w:val="44"/>
      <w:lang w:val="en-US" w:eastAsia="zh-CN" w:bidi="ar-SA"/>
    </w:rPr>
  </w:style>
  <w:style w:type="paragraph" w:customStyle="1" w:styleId="1076">
    <w:name w:val="图表名"/>
    <w:basedOn w:val="1"/>
    <w:qFormat/>
    <w:uiPriority w:val="0"/>
    <w:pPr>
      <w:adjustRightInd w:val="0"/>
      <w:spacing w:after="120" w:line="312" w:lineRule="atLeast"/>
      <w:jc w:val="center"/>
      <w:textAlignment w:val="baseline"/>
    </w:pPr>
    <w:rPr>
      <w:rFonts w:eastAsia="黑体"/>
      <w:sz w:val="21"/>
      <w:szCs w:val="24"/>
    </w:rPr>
  </w:style>
  <w:style w:type="paragraph" w:customStyle="1" w:styleId="1077">
    <w:name w:val="表头格式"/>
    <w:basedOn w:val="1"/>
    <w:qFormat/>
    <w:uiPriority w:val="0"/>
    <w:pPr>
      <w:widowControl/>
      <w:adjustRightInd w:val="0"/>
      <w:snapToGrid w:val="0"/>
      <w:spacing w:before="156" w:beforeLines="50"/>
      <w:ind w:firstLine="480" w:firstLineChars="200"/>
      <w:jc w:val="center"/>
    </w:pPr>
    <w:rPr>
      <w:rFonts w:ascii="宋体" w:hAnsi="宋体"/>
      <w:kern w:val="0"/>
      <w:lang w:val="sq-AL"/>
    </w:rPr>
  </w:style>
  <w:style w:type="character" w:customStyle="1" w:styleId="1078">
    <w:name w:val="目录"/>
    <w:qFormat/>
    <w:uiPriority w:val="0"/>
    <w:rPr>
      <w:sz w:val="36"/>
    </w:rPr>
  </w:style>
  <w:style w:type="paragraph" w:customStyle="1" w:styleId="1079">
    <w:name w:val="样式 五级标题格式 + 段后: 0.5 行"/>
    <w:basedOn w:val="658"/>
    <w:qFormat/>
    <w:uiPriority w:val="0"/>
    <w:pPr>
      <w:spacing w:line="360" w:lineRule="auto"/>
      <w:ind w:left="1202"/>
      <w:outlineLvl w:val="9"/>
    </w:pPr>
    <w:rPr>
      <w:rFonts w:cs="宋体"/>
      <w:szCs w:val="20"/>
    </w:rPr>
  </w:style>
  <w:style w:type="paragraph" w:customStyle="1" w:styleId="1080">
    <w:name w:val="Char Char Char Char Char Char Char Char Char Char Char Char Char1"/>
    <w:basedOn w:val="1"/>
    <w:qFormat/>
    <w:uiPriority w:val="0"/>
    <w:pPr>
      <w:spacing w:line="240" w:lineRule="auto"/>
    </w:pPr>
    <w:rPr>
      <w:rFonts w:ascii="仿宋_GB2312" w:eastAsia="仿宋_GB2312"/>
      <w:b/>
      <w:sz w:val="32"/>
      <w:szCs w:val="32"/>
    </w:rPr>
  </w:style>
  <w:style w:type="table" w:customStyle="1" w:styleId="1081">
    <w:name w:val="00"/>
    <w:basedOn w:val="87"/>
    <w:qFormat/>
    <w:uiPriority w:val="0"/>
    <w:pPr>
      <w:spacing w:line="240" w:lineRule="exact"/>
      <w:jc w:val="center"/>
    </w:pPr>
    <w:rPr>
      <w:rFonts w:ascii="宋体"/>
      <w:sz w:val="21"/>
      <w:szCs w:val="21"/>
    </w:rPr>
    <w:tblPr>
      <w:tblBorders>
        <w:top w:val="single" w:color="99CCFF" w:sz="8" w:space="0"/>
        <w:left w:val="single" w:color="99CCFF" w:sz="8" w:space="0"/>
        <w:bottom w:val="single" w:color="99CCFF" w:sz="8" w:space="0"/>
        <w:right w:val="single" w:color="99CCFF" w:sz="8" w:space="0"/>
        <w:insideH w:val="single" w:color="99CCFF" w:sz="8" w:space="0"/>
        <w:insideV w:val="single" w:color="99CCFF" w:sz="8" w:space="0"/>
      </w:tblBorders>
      <w:tblCellMar>
        <w:top w:w="0" w:type="dxa"/>
        <w:left w:w="108" w:type="dxa"/>
        <w:bottom w:w="0" w:type="dxa"/>
        <w:right w:w="108" w:type="dxa"/>
      </w:tblCellMar>
    </w:tblPr>
    <w:tblStylePr w:type="firstRow">
      <w:pPr>
        <w:wordWrap/>
        <w:spacing w:before="0" w:beforeLines="0" w:beforeAutospacing="0" w:after="0" w:afterLines="0" w:afterAutospacing="0" w:line="240" w:lineRule="exact"/>
        <w:ind w:left="0" w:leftChars="0" w:right="0" w:rightChars="0" w:firstLine="0" w:firstLineChars="0"/>
        <w:contextualSpacing w:val="0"/>
        <w:jc w:val="center"/>
      </w:pPr>
      <w:rPr>
        <w:rFonts w:ascii="宋体" w:eastAsia="宋体"/>
        <w:b w:val="0"/>
        <w:i w:val="0"/>
        <w:spacing w:val="0"/>
        <w:w w:val="100"/>
        <w:position w:val="0"/>
        <w:sz w:val="21"/>
        <w:szCs w:val="21"/>
      </w:rPr>
      <w:tblPr/>
      <w:trPr>
        <w:tblHeader/>
      </w:trPr>
      <w:tcPr>
        <w:tcBorders>
          <w:top w:val="single" w:color="99CCFF" w:sz="8" w:space="0"/>
          <w:left w:val="single" w:color="99CCFF" w:sz="8" w:space="0"/>
          <w:bottom w:val="single" w:color="99CCFF" w:sz="8" w:space="0"/>
          <w:right w:val="single" w:color="99CCFF" w:sz="8" w:space="0"/>
          <w:insideH w:val="single" w:sz="8" w:space="0"/>
          <w:insideV w:val="single" w:sz="8" w:space="0"/>
          <w:tl2br w:val="nil"/>
          <w:tr2bl w:val="nil"/>
        </w:tcBorders>
        <w:shd w:val="clear" w:color="auto" w:fill="E0F0EB"/>
      </w:tcPr>
    </w:tblStylePr>
  </w:style>
  <w:style w:type="paragraph" w:customStyle="1" w:styleId="1082">
    <w:name w:val="正文文本缩进 31"/>
    <w:basedOn w:val="1"/>
    <w:qFormat/>
    <w:uiPriority w:val="0"/>
    <w:pPr>
      <w:autoSpaceDE w:val="0"/>
      <w:autoSpaceDN w:val="0"/>
      <w:adjustRightInd w:val="0"/>
      <w:spacing w:line="520" w:lineRule="exact"/>
      <w:ind w:firstLine="525"/>
      <w:textAlignment w:val="baseline"/>
    </w:pPr>
    <w:rPr>
      <w:rFonts w:ascii="宋体"/>
      <w:kern w:val="0"/>
      <w:sz w:val="28"/>
      <w:szCs w:val="24"/>
    </w:rPr>
  </w:style>
  <w:style w:type="paragraph" w:customStyle="1" w:styleId="1083">
    <w:name w:val="Char1 Char Char Char Char Char Char1 Char Char Char"/>
    <w:basedOn w:val="1"/>
    <w:qFormat/>
    <w:uiPriority w:val="0"/>
    <w:pPr>
      <w:ind w:firstLine="200" w:firstLineChars="200"/>
    </w:pPr>
    <w:rPr>
      <w:rFonts w:ascii="宋体" w:hAnsi="宋体" w:cs="宋体"/>
      <w:szCs w:val="24"/>
    </w:rPr>
  </w:style>
  <w:style w:type="character" w:customStyle="1" w:styleId="1084">
    <w:name w:val="myp1111"/>
    <w:qFormat/>
    <w:uiPriority w:val="0"/>
    <w:rPr>
      <w:rFonts w:hint="default" w:ascii="ˎ̥" w:hAnsi="ˎ̥"/>
      <w:color w:val="000000"/>
      <w:sz w:val="28"/>
      <w:szCs w:val="28"/>
      <w:u w:val="none"/>
    </w:rPr>
  </w:style>
  <w:style w:type="character" w:customStyle="1" w:styleId="1085">
    <w:name w:val="3zw1"/>
    <w:qFormat/>
    <w:uiPriority w:val="0"/>
    <w:rPr>
      <w:color w:val="000000"/>
      <w:sz w:val="21"/>
      <w:szCs w:val="21"/>
    </w:rPr>
  </w:style>
  <w:style w:type="paragraph" w:customStyle="1" w:styleId="1086">
    <w:name w:val="CELL2"/>
    <w:basedOn w:val="1"/>
    <w:qFormat/>
    <w:uiPriority w:val="0"/>
    <w:pPr>
      <w:widowControl/>
      <w:overflowPunct w:val="0"/>
      <w:autoSpaceDE w:val="0"/>
      <w:autoSpaceDN w:val="0"/>
      <w:adjustRightInd w:val="0"/>
      <w:spacing w:line="240" w:lineRule="auto"/>
      <w:ind w:left="80" w:right="100"/>
      <w:textAlignment w:val="baseline"/>
    </w:pPr>
    <w:rPr>
      <w:rFonts w:ascii="Times" w:hAnsi="Times"/>
      <w:kern w:val="0"/>
      <w:sz w:val="20"/>
      <w:lang w:val="en-GB" w:eastAsia="en-US"/>
    </w:rPr>
  </w:style>
  <w:style w:type="paragraph" w:customStyle="1" w:styleId="1087">
    <w:name w:val="CELL1"/>
    <w:basedOn w:val="1"/>
    <w:qFormat/>
    <w:uiPriority w:val="0"/>
    <w:pPr>
      <w:widowControl/>
      <w:overflowPunct w:val="0"/>
      <w:autoSpaceDE w:val="0"/>
      <w:autoSpaceDN w:val="0"/>
      <w:adjustRightInd w:val="0"/>
      <w:spacing w:line="240" w:lineRule="auto"/>
      <w:ind w:left="80" w:right="100"/>
      <w:textAlignment w:val="baseline"/>
    </w:pPr>
    <w:rPr>
      <w:rFonts w:ascii="Times" w:hAnsi="Times"/>
      <w:b/>
      <w:kern w:val="0"/>
      <w:sz w:val="20"/>
      <w:lang w:val="en-GB" w:eastAsia="en-US"/>
    </w:rPr>
  </w:style>
  <w:style w:type="paragraph" w:customStyle="1" w:styleId="1088">
    <w:name w:val="正文文本缩进 21"/>
    <w:basedOn w:val="1"/>
    <w:qFormat/>
    <w:uiPriority w:val="0"/>
    <w:pPr>
      <w:adjustRightInd w:val="0"/>
      <w:spacing w:line="400" w:lineRule="exact"/>
      <w:ind w:firstLine="540"/>
      <w:textAlignment w:val="baseline"/>
    </w:pPr>
    <w:rPr>
      <w:szCs w:val="24"/>
    </w:rPr>
  </w:style>
  <w:style w:type="paragraph" w:customStyle="1" w:styleId="1089">
    <w:name w:val="qptext"/>
    <w:basedOn w:val="1"/>
    <w:qFormat/>
    <w:uiPriority w:val="0"/>
    <w:pPr>
      <w:snapToGrid w:val="0"/>
      <w:spacing w:line="240" w:lineRule="auto"/>
    </w:pPr>
    <w:rPr>
      <w:rFonts w:ascii="黑体" w:eastAsia="黑体"/>
      <w:szCs w:val="24"/>
    </w:rPr>
  </w:style>
  <w:style w:type="paragraph" w:customStyle="1" w:styleId="1090">
    <w:name w:val="P1"/>
    <w:basedOn w:val="1"/>
    <w:qFormat/>
    <w:uiPriority w:val="0"/>
    <w:pPr>
      <w:widowControl/>
      <w:spacing w:after="120"/>
      <w:ind w:left="630" w:leftChars="300"/>
    </w:pPr>
    <w:rPr>
      <w:color w:val="000000"/>
      <w:spacing w:val="20"/>
      <w:kern w:val="0"/>
      <w:sz w:val="28"/>
      <w:szCs w:val="24"/>
      <w:lang w:val="en-GB"/>
    </w:rPr>
  </w:style>
  <w:style w:type="paragraph" w:customStyle="1" w:styleId="1091">
    <w:name w:val="P1-1"/>
    <w:basedOn w:val="1"/>
    <w:qFormat/>
    <w:uiPriority w:val="0"/>
    <w:pPr>
      <w:widowControl/>
      <w:tabs>
        <w:tab w:val="left" w:pos="-600"/>
        <w:tab w:val="left" w:pos="1440"/>
      </w:tabs>
      <w:spacing w:after="120"/>
      <w:ind w:left="1440" w:hanging="720"/>
    </w:pPr>
    <w:rPr>
      <w:color w:val="000000"/>
      <w:spacing w:val="20"/>
      <w:kern w:val="0"/>
      <w:sz w:val="28"/>
      <w:szCs w:val="24"/>
      <w:lang w:val="en-GB"/>
    </w:rPr>
  </w:style>
  <w:style w:type="paragraph" w:customStyle="1" w:styleId="1092">
    <w:name w:val="P2-1"/>
    <w:basedOn w:val="1"/>
    <w:qFormat/>
    <w:uiPriority w:val="0"/>
    <w:pPr>
      <w:widowControl/>
      <w:overflowPunct w:val="0"/>
      <w:autoSpaceDE w:val="0"/>
      <w:autoSpaceDN w:val="0"/>
      <w:adjustRightInd w:val="0"/>
      <w:spacing w:after="120"/>
      <w:ind w:left="2160" w:hanging="720"/>
      <w:textAlignment w:val="baseline"/>
    </w:pPr>
    <w:rPr>
      <w:spacing w:val="20"/>
      <w:kern w:val="0"/>
      <w:sz w:val="28"/>
      <w:szCs w:val="24"/>
      <w:lang w:eastAsia="zh-TW"/>
    </w:rPr>
  </w:style>
  <w:style w:type="paragraph" w:customStyle="1" w:styleId="1093">
    <w:name w:val="P2"/>
    <w:basedOn w:val="1090"/>
    <w:qFormat/>
    <w:uiPriority w:val="0"/>
    <w:pPr>
      <w:ind w:left="685" w:leftChars="685"/>
    </w:pPr>
    <w:rPr>
      <w:lang w:eastAsia="zh-TW"/>
    </w:rPr>
  </w:style>
  <w:style w:type="paragraph" w:customStyle="1" w:styleId="1094">
    <w:name w:val="P0"/>
    <w:basedOn w:val="1"/>
    <w:qFormat/>
    <w:uiPriority w:val="0"/>
    <w:pPr>
      <w:widowControl/>
      <w:overflowPunct w:val="0"/>
      <w:autoSpaceDE w:val="0"/>
      <w:autoSpaceDN w:val="0"/>
      <w:adjustRightInd w:val="0"/>
      <w:spacing w:after="120"/>
      <w:textAlignment w:val="baseline"/>
    </w:pPr>
    <w:rPr>
      <w:spacing w:val="20"/>
      <w:kern w:val="0"/>
      <w:sz w:val="28"/>
      <w:szCs w:val="24"/>
      <w:lang w:eastAsia="zh-TW"/>
    </w:rPr>
  </w:style>
  <w:style w:type="paragraph" w:customStyle="1" w:styleId="1095">
    <w:name w:val="P3"/>
    <w:basedOn w:val="1093"/>
    <w:qFormat/>
    <w:uiPriority w:val="0"/>
    <w:pPr>
      <w:ind w:left="1028" w:leftChars="1028"/>
    </w:pPr>
  </w:style>
  <w:style w:type="paragraph" w:customStyle="1" w:styleId="1096">
    <w:name w:val="P3-1"/>
    <w:basedOn w:val="1092"/>
    <w:qFormat/>
    <w:uiPriority w:val="0"/>
    <w:pPr>
      <w:tabs>
        <w:tab w:val="left" w:pos="-600"/>
        <w:tab w:val="left" w:pos="2880"/>
      </w:tabs>
      <w:overflowPunct/>
      <w:autoSpaceDE/>
      <w:autoSpaceDN/>
      <w:adjustRightInd/>
      <w:ind w:left="2880"/>
      <w:textAlignment w:val="auto"/>
    </w:pPr>
    <w:rPr>
      <w:color w:val="000000"/>
      <w:lang w:val="en-GB" w:eastAsia="zh-CN"/>
    </w:rPr>
  </w:style>
  <w:style w:type="paragraph" w:customStyle="1" w:styleId="1097">
    <w:name w:val="P1-Spec"/>
    <w:basedOn w:val="1090"/>
    <w:qFormat/>
    <w:uiPriority w:val="0"/>
    <w:pPr>
      <w:spacing w:after="0"/>
      <w:ind w:left="720"/>
    </w:pPr>
    <w:rPr>
      <w:rFonts w:ascii="宋体" w:hAnsi="宋体"/>
      <w:color w:val="auto"/>
    </w:rPr>
  </w:style>
  <w:style w:type="character" w:customStyle="1" w:styleId="1098">
    <w:name w:val="unnamed31"/>
    <w:qFormat/>
    <w:uiPriority w:val="0"/>
    <w:rPr>
      <w:sz w:val="22"/>
      <w:szCs w:val="22"/>
    </w:rPr>
  </w:style>
  <w:style w:type="paragraph" w:customStyle="1" w:styleId="1099">
    <w:name w:val="正文编号"/>
    <w:basedOn w:val="45"/>
    <w:qFormat/>
    <w:uiPriority w:val="0"/>
    <w:pPr>
      <w:tabs>
        <w:tab w:val="left" w:pos="-105"/>
      </w:tabs>
      <w:snapToGrid w:val="0"/>
      <w:spacing w:before="120" w:line="360" w:lineRule="auto"/>
      <w:ind w:left="425" w:hanging="5"/>
    </w:pPr>
    <w:rPr>
      <w:rFonts w:ascii="Times New Roman" w:hAnsi="Times New Roman"/>
      <w:sz w:val="28"/>
      <w:szCs w:val="24"/>
    </w:rPr>
  </w:style>
  <w:style w:type="paragraph" w:customStyle="1" w:styleId="1100">
    <w:name w:val="正文符号"/>
    <w:basedOn w:val="35"/>
    <w:qFormat/>
    <w:uiPriority w:val="0"/>
    <w:pPr>
      <w:tabs>
        <w:tab w:val="left" w:pos="425"/>
      </w:tabs>
      <w:snapToGrid w:val="0"/>
      <w:spacing w:before="120"/>
      <w:ind w:left="425" w:hanging="425" w:firstLineChars="0"/>
    </w:pPr>
    <w:rPr>
      <w:rFonts w:ascii="Times New Roman" w:hAnsi="Times New Roman"/>
      <w:sz w:val="28"/>
      <w:szCs w:val="24"/>
    </w:rPr>
  </w:style>
  <w:style w:type="paragraph" w:customStyle="1" w:styleId="1101">
    <w:name w:val="正文编号2"/>
    <w:basedOn w:val="1099"/>
    <w:qFormat/>
    <w:uiPriority w:val="0"/>
    <w:pPr>
      <w:tabs>
        <w:tab w:val="left" w:pos="720"/>
        <w:tab w:val="clear" w:pos="-105"/>
      </w:tabs>
      <w:ind w:left="720" w:hanging="420"/>
    </w:pPr>
  </w:style>
  <w:style w:type="paragraph" w:customStyle="1" w:styleId="1102">
    <w:name w:val="ST20_2"/>
    <w:basedOn w:val="1"/>
    <w:qFormat/>
    <w:uiPriority w:val="0"/>
    <w:pPr>
      <w:autoSpaceDE w:val="0"/>
      <w:autoSpaceDN w:val="0"/>
      <w:adjustRightInd w:val="0"/>
      <w:spacing w:line="312" w:lineRule="atLeast"/>
      <w:textAlignment w:val="baseline"/>
    </w:pPr>
    <w:rPr>
      <w:rFonts w:ascii="宋体" w:hAnsi="Tms Rmn"/>
      <w:kern w:val="0"/>
      <w:sz w:val="28"/>
      <w:szCs w:val="24"/>
    </w:rPr>
  </w:style>
  <w:style w:type="paragraph" w:customStyle="1" w:styleId="1103">
    <w:name w:val="表内"/>
    <w:basedOn w:val="1"/>
    <w:qFormat/>
    <w:uiPriority w:val="0"/>
    <w:pPr>
      <w:autoSpaceDE w:val="0"/>
      <w:autoSpaceDN w:val="0"/>
      <w:adjustRightInd w:val="0"/>
      <w:snapToGrid w:val="0"/>
      <w:spacing w:line="240" w:lineRule="atLeast"/>
      <w:ind w:left="109" w:leftChars="-25" w:hanging="165" w:hangingChars="74"/>
      <w:jc w:val="center"/>
    </w:pPr>
    <w:rPr>
      <w:szCs w:val="24"/>
    </w:rPr>
  </w:style>
  <w:style w:type="paragraph" w:customStyle="1" w:styleId="1104">
    <w:name w:val="texte4"/>
    <w:basedOn w:val="21"/>
    <w:qFormat/>
    <w:uiPriority w:val="0"/>
    <w:pPr>
      <w:widowControl/>
      <w:spacing w:line="312" w:lineRule="auto"/>
      <w:ind w:left="540" w:hanging="540" w:hangingChars="225"/>
      <w:jc w:val="both"/>
    </w:pPr>
    <w:rPr>
      <w:rFonts w:ascii="Arial" w:hAnsi="Arial" w:eastAsia="宋体" w:cs="Arial"/>
      <w:kern w:val="0"/>
      <w:sz w:val="24"/>
      <w:szCs w:val="24"/>
    </w:rPr>
  </w:style>
  <w:style w:type="paragraph" w:customStyle="1" w:styleId="1105">
    <w:name w:val="AufzählungsEbene1"/>
    <w:basedOn w:val="1"/>
    <w:qFormat/>
    <w:uiPriority w:val="0"/>
    <w:pPr>
      <w:widowControl/>
      <w:tabs>
        <w:tab w:val="left" w:pos="1701"/>
      </w:tabs>
      <w:spacing w:after="50" w:afterLines="50" w:line="240" w:lineRule="auto"/>
      <w:ind w:left="1701" w:hanging="567"/>
    </w:pPr>
    <w:rPr>
      <w:rFonts w:ascii="Arial" w:hAnsi="Arial"/>
      <w:kern w:val="0"/>
      <w:sz w:val="22"/>
      <w:szCs w:val="24"/>
      <w:lang w:val="en-GB" w:eastAsia="en-US"/>
    </w:rPr>
  </w:style>
  <w:style w:type="paragraph" w:customStyle="1" w:styleId="1106">
    <w:name w:val="杭州正文"/>
    <w:basedOn w:val="21"/>
    <w:qFormat/>
    <w:uiPriority w:val="0"/>
    <w:pPr>
      <w:spacing w:line="360" w:lineRule="auto"/>
      <w:ind w:firstLine="200" w:firstLineChars="200"/>
      <w:jc w:val="both"/>
    </w:pPr>
    <w:rPr>
      <w:rFonts w:ascii="宋体" w:eastAsia="宋体"/>
      <w:sz w:val="24"/>
      <w:szCs w:val="24"/>
    </w:rPr>
  </w:style>
  <w:style w:type="paragraph" w:customStyle="1" w:styleId="1107">
    <w:name w:val="LLY4"/>
    <w:basedOn w:val="327"/>
    <w:next w:val="1"/>
    <w:qFormat/>
    <w:uiPriority w:val="0"/>
    <w:pPr>
      <w:adjustRightInd w:val="0"/>
      <w:snapToGrid w:val="0"/>
      <w:spacing w:beforeLines="25" w:afterLines="25" w:line="360" w:lineRule="auto"/>
      <w:ind w:left="447" w:leftChars="200" w:right="447" w:rightChars="200" w:firstLine="223" w:firstLineChars="100"/>
    </w:pPr>
    <w:rPr>
      <w:rFonts w:eastAsia="黑体"/>
      <w:szCs w:val="24"/>
    </w:rPr>
  </w:style>
  <w:style w:type="paragraph" w:customStyle="1" w:styleId="1108">
    <w:name w:val="LLY2"/>
    <w:basedOn w:val="3"/>
    <w:next w:val="1"/>
    <w:link w:val="1109"/>
    <w:qFormat/>
    <w:uiPriority w:val="0"/>
    <w:pPr>
      <w:keepNext w:val="0"/>
      <w:keepLines w:val="0"/>
      <w:numPr>
        <w:numId w:val="0"/>
      </w:numPr>
      <w:autoSpaceDE/>
      <w:adjustRightInd w:val="0"/>
      <w:snapToGrid w:val="0"/>
      <w:spacing w:before="120" w:after="120"/>
      <w:ind w:left="447" w:leftChars="200" w:right="447" w:rightChars="200"/>
    </w:pPr>
    <w:rPr>
      <w:rFonts w:ascii="黑体" w:hAnsi="Times New Roman"/>
      <w:b/>
      <w:color w:val="000000"/>
      <w:sz w:val="24"/>
      <w:szCs w:val="24"/>
      <w:lang w:val="en-US"/>
    </w:rPr>
  </w:style>
  <w:style w:type="character" w:customStyle="1" w:styleId="1109">
    <w:name w:val="LLY2 Char"/>
    <w:link w:val="1108"/>
    <w:qFormat/>
    <w:uiPriority w:val="0"/>
    <w:rPr>
      <w:rFonts w:ascii="黑体" w:eastAsia="黑体"/>
      <w:b/>
      <w:color w:val="000000"/>
      <w:kern w:val="44"/>
      <w:sz w:val="24"/>
      <w:szCs w:val="24"/>
      <w:lang w:val="en-US" w:eastAsia="zh-CN" w:bidi="ar-SA"/>
    </w:rPr>
  </w:style>
  <w:style w:type="paragraph" w:customStyle="1" w:styleId="1110">
    <w:name w:val="杭州标题4"/>
    <w:basedOn w:val="6"/>
    <w:qFormat/>
    <w:uiPriority w:val="0"/>
    <w:pPr>
      <w:numPr>
        <w:ilvl w:val="0"/>
        <w:numId w:val="0"/>
      </w:numPr>
    </w:pPr>
    <w:rPr>
      <w:b/>
      <w:bCs/>
      <w:sz w:val="30"/>
      <w:szCs w:val="28"/>
    </w:rPr>
  </w:style>
  <w:style w:type="paragraph" w:customStyle="1" w:styleId="1111">
    <w:name w:val="杭州标题3"/>
    <w:basedOn w:val="5"/>
    <w:qFormat/>
    <w:uiPriority w:val="0"/>
    <w:pPr>
      <w:numPr>
        <w:ilvl w:val="0"/>
        <w:numId w:val="0"/>
      </w:numPr>
    </w:pPr>
    <w:rPr>
      <w:b/>
      <w:bCs w:val="0"/>
      <w:sz w:val="36"/>
    </w:rPr>
  </w:style>
  <w:style w:type="paragraph" w:customStyle="1" w:styleId="1112">
    <w:name w:val="表样式"/>
    <w:basedOn w:val="1"/>
    <w:qFormat/>
    <w:uiPriority w:val="0"/>
    <w:pPr>
      <w:widowControl/>
      <w:spacing w:before="40" w:after="40" w:line="240" w:lineRule="auto"/>
      <w:jc w:val="center"/>
    </w:pPr>
    <w:rPr>
      <w:rFonts w:ascii="Arial" w:hAnsi="Arial"/>
      <w:kern w:val="0"/>
      <w:szCs w:val="24"/>
    </w:rPr>
  </w:style>
  <w:style w:type="paragraph" w:customStyle="1" w:styleId="1113">
    <w:name w:val="章标题"/>
    <w:next w:val="1"/>
    <w:qFormat/>
    <w:uiPriority w:val="0"/>
    <w:pPr>
      <w:tabs>
        <w:tab w:val="left" w:pos="840"/>
      </w:tabs>
      <w:spacing w:before="50" w:beforeLines="50" w:after="50" w:afterLines="50" w:line="360" w:lineRule="auto"/>
      <w:ind w:left="840" w:hanging="420"/>
      <w:jc w:val="both"/>
      <w:outlineLvl w:val="1"/>
    </w:pPr>
    <w:rPr>
      <w:rFonts w:ascii="黑体" w:hAnsi="Times New Roman" w:eastAsia="黑体" w:cs="Times New Roman"/>
      <w:sz w:val="21"/>
      <w:lang w:val="en-US" w:eastAsia="zh-CN" w:bidi="ar-SA"/>
    </w:rPr>
  </w:style>
  <w:style w:type="paragraph" w:customStyle="1" w:styleId="1114">
    <w:name w:val="Level-3"/>
    <w:basedOn w:val="1"/>
    <w:qFormat/>
    <w:uiPriority w:val="0"/>
    <w:pPr>
      <w:keepLines/>
      <w:widowControl/>
      <w:tabs>
        <w:tab w:val="left" w:pos="1080"/>
      </w:tabs>
      <w:adjustRightInd w:val="0"/>
      <w:snapToGrid w:val="0"/>
      <w:spacing w:before="120" w:after="120" w:line="240" w:lineRule="auto"/>
      <w:ind w:left="1080" w:hanging="720"/>
    </w:pPr>
    <w:rPr>
      <w:rFonts w:eastAsia="PMingLiU"/>
      <w:kern w:val="0"/>
      <w:szCs w:val="24"/>
      <w:lang w:val="en-AU" w:eastAsia="zh-TW"/>
    </w:rPr>
  </w:style>
  <w:style w:type="paragraph" w:customStyle="1" w:styleId="1115">
    <w:name w:val="Level-4"/>
    <w:basedOn w:val="1"/>
    <w:qFormat/>
    <w:uiPriority w:val="0"/>
    <w:pPr>
      <w:widowControl/>
      <w:tabs>
        <w:tab w:val="left" w:pos="720"/>
        <w:tab w:val="left" w:pos="993"/>
      </w:tabs>
      <w:adjustRightInd w:val="0"/>
      <w:snapToGrid w:val="0"/>
      <w:spacing w:before="120" w:after="120" w:line="240" w:lineRule="auto"/>
      <w:ind w:left="720" w:hanging="720"/>
    </w:pPr>
    <w:rPr>
      <w:rFonts w:eastAsia="PMingLiU"/>
      <w:kern w:val="0"/>
      <w:szCs w:val="24"/>
      <w:lang w:val="en-AU" w:eastAsia="zh-TW"/>
    </w:rPr>
  </w:style>
  <w:style w:type="paragraph" w:customStyle="1" w:styleId="1116">
    <w:name w:val="Heading 1A"/>
    <w:basedOn w:val="1"/>
    <w:qFormat/>
    <w:uiPriority w:val="0"/>
    <w:pPr>
      <w:widowControl/>
      <w:tabs>
        <w:tab w:val="left" w:pos="720"/>
      </w:tabs>
      <w:adjustRightInd w:val="0"/>
      <w:snapToGrid w:val="0"/>
      <w:spacing w:line="240" w:lineRule="auto"/>
      <w:ind w:left="720" w:hanging="720"/>
    </w:pPr>
    <w:rPr>
      <w:rFonts w:eastAsia="PMingLiU"/>
      <w:kern w:val="0"/>
      <w:szCs w:val="24"/>
      <w:lang w:eastAsia="zh-TW"/>
    </w:rPr>
  </w:style>
  <w:style w:type="paragraph" w:customStyle="1" w:styleId="1117">
    <w:name w:val="Level-2A"/>
    <w:basedOn w:val="1"/>
    <w:qFormat/>
    <w:uiPriority w:val="0"/>
    <w:pPr>
      <w:widowControl/>
      <w:tabs>
        <w:tab w:val="left" w:pos="720"/>
      </w:tabs>
      <w:adjustRightInd w:val="0"/>
      <w:snapToGrid w:val="0"/>
      <w:spacing w:line="240" w:lineRule="auto"/>
      <w:ind w:left="720" w:hanging="720"/>
    </w:pPr>
    <w:rPr>
      <w:rFonts w:eastAsia="PMingLiU"/>
      <w:kern w:val="0"/>
      <w:szCs w:val="24"/>
      <w:lang w:eastAsia="zh-TW"/>
    </w:rPr>
  </w:style>
  <w:style w:type="paragraph" w:customStyle="1" w:styleId="1118">
    <w:name w:val="Char Char3 Char Char Char Char"/>
    <w:basedOn w:val="1"/>
    <w:qFormat/>
    <w:uiPriority w:val="0"/>
    <w:pPr>
      <w:widowControl/>
      <w:spacing w:after="160" w:line="240" w:lineRule="exact"/>
    </w:pPr>
    <w:rPr>
      <w:rFonts w:ascii="Verdana" w:hAnsi="Verdana"/>
      <w:kern w:val="0"/>
      <w:sz w:val="20"/>
      <w:szCs w:val="24"/>
      <w:lang w:eastAsia="en-US"/>
    </w:rPr>
  </w:style>
  <w:style w:type="paragraph" w:customStyle="1" w:styleId="1119">
    <w:name w:val="样式 非加宽量 / 紧缩量  行距: 固定值 20 磅 首行缩进:  2.5 字符"/>
    <w:basedOn w:val="1"/>
    <w:link w:val="1120"/>
    <w:qFormat/>
    <w:uiPriority w:val="0"/>
    <w:pPr>
      <w:spacing w:before="120" w:beforeLines="50" w:after="120" w:afterLines="50"/>
      <w:ind w:firstLine="480" w:firstLineChars="200"/>
    </w:pPr>
    <w:rPr>
      <w:rFonts w:ascii="FuturaA Bk BT" w:hAnsi="FuturaA Bk BT" w:cs="宋体"/>
      <w:color w:val="000000"/>
      <w:spacing w:val="20"/>
      <w:szCs w:val="24"/>
    </w:rPr>
  </w:style>
  <w:style w:type="character" w:customStyle="1" w:styleId="1120">
    <w:name w:val="样式 非加宽量 / 紧缩量  行距: 固定值 20 磅 首行缩进:  2.5 字符 Char2"/>
    <w:link w:val="1119"/>
    <w:qFormat/>
    <w:uiPriority w:val="0"/>
    <w:rPr>
      <w:rFonts w:ascii="FuturaA Bk BT" w:hAnsi="FuturaA Bk BT" w:eastAsia="宋体" w:cs="宋体"/>
      <w:color w:val="000000"/>
      <w:spacing w:val="20"/>
      <w:kern w:val="2"/>
      <w:sz w:val="24"/>
      <w:szCs w:val="24"/>
      <w:lang w:val="en-US" w:eastAsia="zh-CN" w:bidi="ar-SA"/>
    </w:rPr>
  </w:style>
  <w:style w:type="paragraph" w:customStyle="1" w:styleId="1121">
    <w:name w:val="Testo 1.1"/>
    <w:qFormat/>
    <w:uiPriority w:val="0"/>
    <w:pPr>
      <w:spacing w:after="60" w:line="300" w:lineRule="exact"/>
      <w:ind w:left="709" w:hanging="482"/>
      <w:jc w:val="both"/>
    </w:pPr>
    <w:rPr>
      <w:rFonts w:ascii="Arial" w:hAnsi="Arial" w:eastAsia="宋体" w:cs="Times New Roman"/>
      <w:sz w:val="22"/>
      <w:lang w:val="en-GB" w:eastAsia="zh-CN" w:bidi="ar-SA"/>
    </w:rPr>
  </w:style>
  <w:style w:type="paragraph" w:customStyle="1" w:styleId="1122">
    <w:name w:val="unnamed1"/>
    <w:basedOn w:val="1"/>
    <w:qFormat/>
    <w:uiPriority w:val="0"/>
    <w:pPr>
      <w:widowControl/>
      <w:spacing w:before="100" w:beforeAutospacing="1" w:after="100" w:afterAutospacing="1"/>
    </w:pPr>
    <w:rPr>
      <w:rFonts w:ascii="Arial Unicode MS" w:hAnsi="Arial Unicode MS" w:eastAsia="Arial Unicode MS"/>
      <w:kern w:val="0"/>
      <w:szCs w:val="24"/>
    </w:rPr>
  </w:style>
  <w:style w:type="paragraph" w:customStyle="1" w:styleId="1123">
    <w:name w:val="Testo 1.1.1"/>
    <w:basedOn w:val="1121"/>
    <w:qFormat/>
    <w:uiPriority w:val="0"/>
    <w:pPr>
      <w:ind w:left="284"/>
    </w:pPr>
  </w:style>
  <w:style w:type="paragraph" w:customStyle="1" w:styleId="1124">
    <w:name w:val="63"/>
    <w:basedOn w:val="1"/>
    <w:next w:val="81"/>
    <w:qFormat/>
    <w:uiPriority w:val="0"/>
    <w:pPr>
      <w:widowControl/>
      <w:spacing w:before="100" w:beforeAutospacing="1" w:after="100" w:afterAutospacing="1" w:line="280" w:lineRule="atLeast"/>
    </w:pPr>
    <w:rPr>
      <w:rFonts w:hint="eastAsia" w:ascii="Arial Unicode MS" w:hAnsi="Arial Unicode MS" w:eastAsia="Arial Unicode MS" w:cs="Arial Unicode MS"/>
      <w:kern w:val="0"/>
      <w:sz w:val="18"/>
      <w:szCs w:val="18"/>
    </w:rPr>
  </w:style>
  <w:style w:type="paragraph" w:customStyle="1" w:styleId="1125">
    <w:name w:val="正文段"/>
    <w:basedOn w:val="1"/>
    <w:qFormat/>
    <w:uiPriority w:val="0"/>
    <w:pPr>
      <w:widowControl/>
      <w:adjustRightInd w:val="0"/>
      <w:spacing w:after="240" w:line="360" w:lineRule="atLeast"/>
      <w:ind w:firstLine="454"/>
      <w:textAlignment w:val="bottom"/>
    </w:pPr>
    <w:rPr>
      <w:rFonts w:ascii="宋体"/>
      <w:kern w:val="0"/>
      <w:szCs w:val="24"/>
    </w:rPr>
  </w:style>
  <w:style w:type="paragraph" w:customStyle="1" w:styleId="1126">
    <w:name w:val="60"/>
    <w:basedOn w:val="1"/>
    <w:next w:val="21"/>
    <w:qFormat/>
    <w:uiPriority w:val="0"/>
    <w:pPr>
      <w:adjustRightInd w:val="0"/>
      <w:snapToGrid w:val="0"/>
      <w:spacing w:line="312" w:lineRule="auto"/>
      <w:ind w:firstLine="200"/>
    </w:pPr>
    <w:rPr>
      <w:sz w:val="28"/>
      <w:szCs w:val="24"/>
    </w:rPr>
  </w:style>
  <w:style w:type="paragraph" w:customStyle="1" w:styleId="1127">
    <w:name w:val="59"/>
    <w:basedOn w:val="1"/>
    <w:next w:val="21"/>
    <w:qFormat/>
    <w:uiPriority w:val="0"/>
    <w:pPr>
      <w:adjustRightInd w:val="0"/>
      <w:snapToGrid w:val="0"/>
      <w:spacing w:line="312" w:lineRule="auto"/>
      <w:ind w:firstLine="200"/>
    </w:pPr>
    <w:rPr>
      <w:sz w:val="28"/>
      <w:szCs w:val="24"/>
    </w:rPr>
  </w:style>
  <w:style w:type="paragraph" w:customStyle="1" w:styleId="1128">
    <w:name w:val="58"/>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29">
    <w:name w:val="57"/>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30">
    <w:name w:val="56"/>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31">
    <w:name w:val="54"/>
    <w:basedOn w:val="1"/>
    <w:next w:val="81"/>
    <w:qFormat/>
    <w:uiPriority w:val="0"/>
    <w:pPr>
      <w:spacing w:line="240" w:lineRule="auto"/>
    </w:pPr>
    <w:rPr>
      <w:szCs w:val="24"/>
    </w:rPr>
  </w:style>
  <w:style w:type="character" w:customStyle="1" w:styleId="1132">
    <w:name w:val="font9-151"/>
    <w:qFormat/>
    <w:uiPriority w:val="0"/>
    <w:rPr>
      <w:color w:val="000000"/>
      <w:sz w:val="18"/>
      <w:szCs w:val="18"/>
      <w:u w:val="none"/>
    </w:rPr>
  </w:style>
  <w:style w:type="character" w:customStyle="1" w:styleId="1133">
    <w:name w:val="3zw"/>
    <w:basedOn w:val="92"/>
    <w:qFormat/>
    <w:uiPriority w:val="0"/>
  </w:style>
  <w:style w:type="paragraph" w:customStyle="1" w:styleId="1134">
    <w:name w:val="52"/>
    <w:basedOn w:val="1"/>
    <w:next w:val="81"/>
    <w:qFormat/>
    <w:uiPriority w:val="0"/>
    <w:pPr>
      <w:widowControl/>
      <w:spacing w:before="100" w:beforeAutospacing="1" w:after="100" w:afterAutospacing="1" w:line="280" w:lineRule="atLeast"/>
    </w:pPr>
    <w:rPr>
      <w:rFonts w:hint="eastAsia" w:ascii="Arial Unicode MS" w:hAnsi="Arial Unicode MS" w:eastAsia="Arial Unicode MS" w:cs="Arial Unicode MS"/>
      <w:kern w:val="0"/>
      <w:sz w:val="18"/>
      <w:szCs w:val="18"/>
    </w:rPr>
  </w:style>
  <w:style w:type="paragraph" w:customStyle="1" w:styleId="1135">
    <w:name w:val="51"/>
    <w:basedOn w:val="1"/>
    <w:next w:val="21"/>
    <w:qFormat/>
    <w:uiPriority w:val="0"/>
    <w:pPr>
      <w:adjustRightInd w:val="0"/>
      <w:snapToGrid w:val="0"/>
      <w:spacing w:line="312" w:lineRule="auto"/>
      <w:ind w:firstLine="200"/>
    </w:pPr>
    <w:rPr>
      <w:sz w:val="28"/>
      <w:szCs w:val="24"/>
    </w:rPr>
  </w:style>
  <w:style w:type="paragraph" w:customStyle="1" w:styleId="1136">
    <w:name w:val="50"/>
    <w:basedOn w:val="1"/>
    <w:next w:val="21"/>
    <w:qFormat/>
    <w:uiPriority w:val="0"/>
    <w:pPr>
      <w:adjustRightInd w:val="0"/>
      <w:snapToGrid w:val="0"/>
      <w:spacing w:line="312" w:lineRule="auto"/>
      <w:ind w:firstLine="200"/>
    </w:pPr>
    <w:rPr>
      <w:sz w:val="28"/>
      <w:szCs w:val="24"/>
    </w:rPr>
  </w:style>
  <w:style w:type="paragraph" w:customStyle="1" w:styleId="1137">
    <w:name w:val="40"/>
    <w:basedOn w:val="1"/>
    <w:next w:val="21"/>
    <w:qFormat/>
    <w:uiPriority w:val="0"/>
    <w:pPr>
      <w:adjustRightInd w:val="0"/>
      <w:snapToGrid w:val="0"/>
      <w:spacing w:line="312" w:lineRule="auto"/>
      <w:ind w:firstLine="200"/>
    </w:pPr>
    <w:rPr>
      <w:sz w:val="28"/>
      <w:szCs w:val="24"/>
    </w:rPr>
  </w:style>
  <w:style w:type="paragraph" w:customStyle="1" w:styleId="1138">
    <w:name w:val="30"/>
    <w:basedOn w:val="1"/>
    <w:next w:val="21"/>
    <w:qFormat/>
    <w:uiPriority w:val="0"/>
    <w:pPr>
      <w:adjustRightInd w:val="0"/>
      <w:snapToGrid w:val="0"/>
      <w:spacing w:line="312" w:lineRule="auto"/>
      <w:ind w:firstLine="200"/>
    </w:pPr>
    <w:rPr>
      <w:sz w:val="28"/>
      <w:szCs w:val="24"/>
    </w:rPr>
  </w:style>
  <w:style w:type="paragraph" w:customStyle="1" w:styleId="1139">
    <w:name w:val="29"/>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40">
    <w:name w:val="20"/>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41">
    <w:name w:val="10"/>
    <w:basedOn w:val="1"/>
    <w:next w:val="70"/>
    <w:qFormat/>
    <w:uiPriority w:val="0"/>
    <w:pPr>
      <w:adjustRightInd w:val="0"/>
      <w:snapToGrid w:val="0"/>
      <w:spacing w:line="312" w:lineRule="auto"/>
      <w:ind w:firstLine="480" w:firstLineChars="200"/>
    </w:pPr>
    <w:rPr>
      <w:rFonts w:ascii="仿宋_GB2312" w:hAnsi="宋体" w:eastAsia="仿宋_GB2312"/>
      <w:szCs w:val="24"/>
    </w:rPr>
  </w:style>
  <w:style w:type="paragraph" w:customStyle="1" w:styleId="1142">
    <w:name w:val="9"/>
    <w:basedOn w:val="1"/>
    <w:next w:val="21"/>
    <w:qFormat/>
    <w:uiPriority w:val="0"/>
    <w:pPr>
      <w:adjustRightInd w:val="0"/>
      <w:snapToGrid w:val="0"/>
      <w:spacing w:line="312" w:lineRule="auto"/>
      <w:ind w:firstLine="200"/>
    </w:pPr>
    <w:rPr>
      <w:sz w:val="28"/>
      <w:szCs w:val="24"/>
    </w:rPr>
  </w:style>
  <w:style w:type="paragraph" w:customStyle="1" w:styleId="1143">
    <w:name w:val="8"/>
    <w:basedOn w:val="1"/>
    <w:next w:val="81"/>
    <w:qFormat/>
    <w:uiPriority w:val="0"/>
    <w:pPr>
      <w:spacing w:line="240" w:lineRule="auto"/>
    </w:pPr>
    <w:rPr>
      <w:szCs w:val="24"/>
    </w:rPr>
  </w:style>
  <w:style w:type="paragraph" w:customStyle="1" w:styleId="1144">
    <w:name w:val="53"/>
    <w:basedOn w:val="1"/>
    <w:next w:val="45"/>
    <w:qFormat/>
    <w:uiPriority w:val="0"/>
    <w:pPr>
      <w:spacing w:line="240" w:lineRule="auto"/>
    </w:pPr>
    <w:rPr>
      <w:rFonts w:ascii="宋体" w:hAnsi="Courier New"/>
      <w:szCs w:val="21"/>
    </w:rPr>
  </w:style>
  <w:style w:type="paragraph" w:customStyle="1" w:styleId="1145">
    <w:name w:val="样式 招标—符号 + 段前: 0.5 行 段后: 0.5 行"/>
    <w:basedOn w:val="1146"/>
    <w:qFormat/>
    <w:uiPriority w:val="0"/>
    <w:pPr>
      <w:tabs>
        <w:tab w:val="left" w:pos="1160"/>
      </w:tabs>
      <w:spacing w:before="30" w:beforeLines="30" w:after="30" w:afterLines="30"/>
    </w:pPr>
    <w:rPr>
      <w:bCs w:val="0"/>
      <w:szCs w:val="20"/>
    </w:rPr>
  </w:style>
  <w:style w:type="paragraph" w:customStyle="1" w:styleId="1146">
    <w:name w:val="招标—符号"/>
    <w:basedOn w:val="1147"/>
    <w:qFormat/>
    <w:uiPriority w:val="0"/>
    <w:pPr>
      <w:tabs>
        <w:tab w:val="left" w:pos="1160"/>
      </w:tabs>
      <w:spacing w:before="156" w:after="156"/>
      <w:ind w:left="1160" w:leftChars="0" w:hanging="420"/>
      <w:jc w:val="left"/>
    </w:pPr>
  </w:style>
  <w:style w:type="paragraph" w:customStyle="1" w:styleId="1147">
    <w:name w:val="招标—正文"/>
    <w:qFormat/>
    <w:uiPriority w:val="0"/>
    <w:pPr>
      <w:spacing w:before="50" w:beforeLines="50" w:after="50" w:afterLines="50" w:line="360" w:lineRule="auto"/>
      <w:ind w:left="200" w:leftChars="200" w:hanging="482"/>
      <w:jc w:val="both"/>
    </w:pPr>
    <w:rPr>
      <w:rFonts w:ascii="Arial" w:hAnsi="Arial" w:eastAsia="宋体" w:cs="Times New Roman"/>
      <w:bCs/>
      <w:kern w:val="2"/>
      <w:sz w:val="21"/>
      <w:szCs w:val="21"/>
      <w:lang w:val="en-US" w:eastAsia="zh-CN" w:bidi="ar-SA"/>
    </w:rPr>
  </w:style>
  <w:style w:type="paragraph" w:customStyle="1" w:styleId="1148">
    <w:name w:val="Char Char Char1 Char"/>
    <w:basedOn w:val="1"/>
    <w:qFormat/>
    <w:uiPriority w:val="0"/>
    <w:pPr>
      <w:spacing w:line="240" w:lineRule="auto"/>
    </w:pPr>
    <w:rPr>
      <w:rFonts w:ascii="Tahoma" w:hAnsi="Tahoma" w:cs="仿宋_GB2312"/>
      <w:szCs w:val="24"/>
    </w:rPr>
  </w:style>
  <w:style w:type="paragraph" w:customStyle="1" w:styleId="1149">
    <w:name w:val="norm1"/>
    <w:basedOn w:val="1"/>
    <w:qFormat/>
    <w:uiPriority w:val="0"/>
    <w:pPr>
      <w:widowControl/>
      <w:overflowPunct w:val="0"/>
      <w:autoSpaceDE w:val="0"/>
      <w:autoSpaceDN w:val="0"/>
      <w:adjustRightInd w:val="0"/>
      <w:ind w:left="2794" w:hanging="360"/>
      <w:textAlignment w:val="baseline"/>
    </w:pPr>
    <w:rPr>
      <w:rFonts w:ascii="Arial" w:hAnsi="Arial" w:eastAsia="MingLiU" w:cs="Arial"/>
      <w:snapToGrid w:val="0"/>
      <w:color w:val="000000"/>
      <w:kern w:val="0"/>
      <w:szCs w:val="24"/>
      <w:lang w:eastAsia="zh-TW"/>
    </w:rPr>
  </w:style>
  <w:style w:type="character" w:customStyle="1" w:styleId="1150">
    <w:name w:val="招标文件正文 Char"/>
    <w:link w:val="373"/>
    <w:qFormat/>
    <w:uiPriority w:val="0"/>
    <w:rPr>
      <w:rFonts w:ascii="宋体"/>
      <w:spacing w:val="10"/>
      <w:w w:val="95"/>
      <w:sz w:val="21"/>
      <w:lang w:val="en-US" w:eastAsia="zh-CN" w:bidi="ar-SA"/>
    </w:rPr>
  </w:style>
  <w:style w:type="paragraph" w:customStyle="1" w:styleId="1151">
    <w:name w:val="列表框2"/>
    <w:basedOn w:val="766"/>
    <w:qFormat/>
    <w:uiPriority w:val="0"/>
    <w:pPr>
      <w:numPr>
        <w:ilvl w:val="0"/>
        <w:numId w:val="13"/>
      </w:numPr>
      <w:tabs>
        <w:tab w:val="left" w:pos="1628"/>
        <w:tab w:val="left" w:pos="2086"/>
        <w:tab w:val="clear" w:pos="1779"/>
      </w:tabs>
      <w:spacing w:line="240" w:lineRule="auto"/>
      <w:ind w:left="400" w:leftChars="400" w:right="-11" w:rightChars="100"/>
    </w:pPr>
    <w:rPr>
      <w:rFonts w:hAnsi="Arial" w:eastAsia="楷体_GB2312" w:cs="Arial"/>
      <w:snapToGrid w:val="0"/>
      <w:spacing w:val="10"/>
      <w:sz w:val="24"/>
      <w:szCs w:val="21"/>
    </w:rPr>
  </w:style>
  <w:style w:type="table" w:customStyle="1" w:styleId="1152">
    <w:name w:val="044"/>
    <w:basedOn w:val="88"/>
    <w:qFormat/>
    <w:uiPriority w:val="0"/>
    <w:rPr>
      <w:rFonts w:ascii="宋体"/>
      <w:sz w:val="21"/>
      <w:szCs w:val="21"/>
    </w:rPr>
    <w:tblPr>
      <w:tblBorders>
        <w:top w:val="single" w:color="99CCFF" w:sz="8" w:space="0"/>
        <w:left w:val="single" w:color="99CCFF" w:sz="8" w:space="0"/>
        <w:bottom w:val="single" w:color="99CCFF" w:sz="8" w:space="0"/>
        <w:right w:val="single" w:color="99CCFF" w:sz="8" w:space="0"/>
        <w:insideH w:val="single" w:color="99CCFF" w:sz="8" w:space="0"/>
        <w:insideV w:val="single" w:color="99CCFF" w:sz="8" w:space="0"/>
      </w:tblBorders>
      <w:tblCellMar>
        <w:top w:w="0" w:type="dxa"/>
        <w:left w:w="108" w:type="dxa"/>
        <w:bottom w:w="0" w:type="dxa"/>
        <w:right w:w="108" w:type="dxa"/>
      </w:tblCellMar>
    </w:tblPr>
    <w:tblStylePr w:type="firstRow">
      <w:tcPr>
        <w:tcBorders>
          <w:top w:val="single" w:color="99CCFF" w:sz="8" w:space="0"/>
          <w:left w:val="single" w:color="99CCFF" w:sz="8" w:space="0"/>
          <w:bottom w:val="single" w:color="99CCFF" w:sz="8" w:space="0"/>
          <w:right w:val="single" w:color="99CCFF" w:sz="8" w:space="0"/>
          <w:insideH w:val="single" w:sz="8" w:space="0"/>
          <w:insideV w:val="single" w:sz="8" w:space="0"/>
          <w:tl2br w:val="nil"/>
          <w:tr2bl w:val="nil"/>
        </w:tcBorders>
        <w:shd w:val="clear" w:color="auto" w:fill="E0F0EB"/>
      </w:tcPr>
    </w:tblStylePr>
  </w:style>
  <w:style w:type="character" w:customStyle="1" w:styleId="1153">
    <w:name w:val="纯文本 Char"/>
    <w:qFormat/>
    <w:uiPriority w:val="0"/>
    <w:rPr>
      <w:rFonts w:ascii="宋体" w:hAnsi="Courier New" w:eastAsia="宋体"/>
      <w:kern w:val="2"/>
      <w:sz w:val="21"/>
      <w:lang w:val="en-US" w:eastAsia="zh-CN" w:bidi="ar-SA"/>
    </w:rPr>
  </w:style>
  <w:style w:type="paragraph" w:customStyle="1" w:styleId="1154">
    <w:name w:val="投标项目符号1"/>
    <w:basedOn w:val="1"/>
    <w:link w:val="1155"/>
    <w:qFormat/>
    <w:uiPriority w:val="0"/>
    <w:pPr>
      <w:widowControl/>
      <w:numPr>
        <w:ilvl w:val="0"/>
        <w:numId w:val="14"/>
      </w:numPr>
      <w:ind w:left="840" w:hanging="420"/>
    </w:pPr>
    <w:rPr>
      <w:spacing w:val="20"/>
      <w:kern w:val="0"/>
      <w:szCs w:val="21"/>
      <w:lang w:val="zh-CN"/>
    </w:rPr>
  </w:style>
  <w:style w:type="character" w:customStyle="1" w:styleId="1155">
    <w:name w:val="投标项目符号1 Char Char"/>
    <w:link w:val="1154"/>
    <w:qFormat/>
    <w:uiPriority w:val="0"/>
    <w:rPr>
      <w:spacing w:val="20"/>
      <w:sz w:val="24"/>
      <w:szCs w:val="21"/>
      <w:lang w:val="zh-CN" w:eastAsia="zh-CN"/>
    </w:rPr>
  </w:style>
  <w:style w:type="character" w:customStyle="1" w:styleId="1156">
    <w:name w:val="投标—标题4 Char"/>
    <w:link w:val="742"/>
    <w:qFormat/>
    <w:uiPriority w:val="0"/>
    <w:rPr>
      <w:rFonts w:eastAsia="黑体"/>
      <w:kern w:val="44"/>
      <w:sz w:val="24"/>
      <w:lang w:val="zh-CN" w:eastAsia="zh-CN"/>
    </w:rPr>
  </w:style>
  <w:style w:type="character" w:customStyle="1" w:styleId="1157">
    <w:name w:val="投标—标题5 Char"/>
    <w:link w:val="741"/>
    <w:qFormat/>
    <w:uiPriority w:val="0"/>
    <w:rPr>
      <w:rFonts w:eastAsia="黑体"/>
      <w:kern w:val="44"/>
      <w:sz w:val="24"/>
      <w:lang w:val="zh-CN" w:eastAsia="zh-CN"/>
    </w:rPr>
  </w:style>
  <w:style w:type="character" w:customStyle="1" w:styleId="1158">
    <w:name w:val="表格正文 Char"/>
    <w:link w:val="344"/>
    <w:qFormat/>
    <w:uiPriority w:val="0"/>
    <w:rPr>
      <w:rFonts w:ascii="Arial" w:hAnsi="Arial" w:eastAsia="仿宋_GB2312"/>
      <w:kern w:val="21"/>
      <w:sz w:val="18"/>
      <w:lang w:val="en-US" w:eastAsia="zh-CN" w:bidi="ar-SA"/>
    </w:rPr>
  </w:style>
  <w:style w:type="paragraph" w:customStyle="1" w:styleId="1159">
    <w:name w:val="投标项目符号2"/>
    <w:basedOn w:val="1154"/>
    <w:next w:val="1"/>
    <w:link w:val="1160"/>
    <w:qFormat/>
    <w:uiPriority w:val="0"/>
    <w:pPr>
      <w:widowControl w:val="0"/>
      <w:numPr>
        <w:numId w:val="15"/>
      </w:numPr>
      <w:tabs>
        <w:tab w:val="left" w:pos="1440"/>
        <w:tab w:val="left" w:pos="1680"/>
      </w:tabs>
      <w:spacing w:before="100" w:beforeAutospacing="1" w:after="100" w:afterAutospacing="1"/>
      <w:ind w:left="1440" w:leftChars="321" w:hanging="360"/>
    </w:pPr>
    <w:rPr>
      <w:w w:val="110"/>
    </w:rPr>
  </w:style>
  <w:style w:type="character" w:customStyle="1" w:styleId="1160">
    <w:name w:val="投标项目符号2 Char"/>
    <w:link w:val="1159"/>
    <w:qFormat/>
    <w:uiPriority w:val="0"/>
    <w:rPr>
      <w:spacing w:val="20"/>
      <w:w w:val="110"/>
      <w:sz w:val="24"/>
      <w:szCs w:val="21"/>
      <w:lang w:val="zh-CN" w:eastAsia="zh-CN"/>
    </w:rPr>
  </w:style>
  <w:style w:type="paragraph" w:customStyle="1" w:styleId="1161">
    <w:name w:val="11 BodyText"/>
    <w:basedOn w:val="1"/>
    <w:qFormat/>
    <w:uiPriority w:val="0"/>
    <w:pPr>
      <w:widowControl/>
      <w:spacing w:after="220" w:line="240" w:lineRule="auto"/>
      <w:ind w:left="1298"/>
    </w:pPr>
    <w:rPr>
      <w:rFonts w:ascii="Arial" w:hAnsi="Arial"/>
      <w:kern w:val="0"/>
      <w:sz w:val="22"/>
      <w:szCs w:val="24"/>
      <w:lang w:eastAsia="en-US"/>
    </w:rPr>
  </w:style>
  <w:style w:type="paragraph" w:customStyle="1" w:styleId="1162">
    <w:name w:val="正"/>
    <w:basedOn w:val="1"/>
    <w:next w:val="1"/>
    <w:qFormat/>
    <w:uiPriority w:val="0"/>
    <w:pPr>
      <w:adjustRightInd w:val="0"/>
      <w:spacing w:line="480" w:lineRule="exact"/>
      <w:ind w:firstLine="668" w:firstLineChars="200"/>
    </w:pPr>
    <w:rPr>
      <w:rFonts w:ascii="宋体" w:hAnsi="宋体"/>
      <w:sz w:val="28"/>
      <w:szCs w:val="28"/>
    </w:rPr>
  </w:style>
  <w:style w:type="paragraph" w:customStyle="1" w:styleId="1163">
    <w:name w:val="Style First line:  0.5&quot;"/>
    <w:basedOn w:val="1"/>
    <w:qFormat/>
    <w:uiPriority w:val="0"/>
    <w:pPr>
      <w:widowControl/>
      <w:ind w:firstLine="720"/>
    </w:pPr>
    <w:rPr>
      <w:kern w:val="0"/>
      <w:szCs w:val="24"/>
    </w:rPr>
  </w:style>
  <w:style w:type="paragraph" w:customStyle="1" w:styleId="1164">
    <w:name w:val="合同文件正文"/>
    <w:qFormat/>
    <w:uiPriority w:val="0"/>
    <w:pPr>
      <w:spacing w:before="120" w:after="120" w:line="300" w:lineRule="auto"/>
      <w:ind w:left="709" w:firstLine="420"/>
    </w:pPr>
    <w:rPr>
      <w:rFonts w:ascii="Arial" w:hAnsi="Arial" w:eastAsia="宋体" w:cs="Arial"/>
      <w:sz w:val="24"/>
      <w:szCs w:val="24"/>
      <w:lang w:val="en-US" w:eastAsia="zh-CN" w:bidi="ar-SA"/>
    </w:rPr>
  </w:style>
  <w:style w:type="paragraph" w:customStyle="1" w:styleId="1165">
    <w:name w:val="合同文件 √"/>
    <w:basedOn w:val="1"/>
    <w:qFormat/>
    <w:uiPriority w:val="0"/>
    <w:pPr>
      <w:keepLines/>
      <w:numPr>
        <w:ilvl w:val="1"/>
        <w:numId w:val="16"/>
      </w:numPr>
      <w:tabs>
        <w:tab w:val="left" w:pos="900"/>
        <w:tab w:val="left" w:pos="1260"/>
      </w:tabs>
      <w:spacing w:before="120" w:after="120" w:line="300" w:lineRule="auto"/>
    </w:pPr>
    <w:rPr>
      <w:rFonts w:ascii="宋体" w:hAnsi="宋体"/>
      <w:spacing w:val="10"/>
      <w:w w:val="95"/>
      <w:kern w:val="0"/>
      <w:szCs w:val="24"/>
    </w:rPr>
  </w:style>
  <w:style w:type="paragraph" w:customStyle="1" w:styleId="1166">
    <w:name w:val="Style Bildunterschrift + Left Right:  0 cm"/>
    <w:basedOn w:val="1"/>
    <w:qFormat/>
    <w:uiPriority w:val="0"/>
    <w:pPr>
      <w:widowControl/>
      <w:numPr>
        <w:ilvl w:val="0"/>
        <w:numId w:val="17"/>
      </w:numPr>
      <w:spacing w:after="240" w:line="312" w:lineRule="auto"/>
    </w:pPr>
    <w:rPr>
      <w:rFonts w:ascii="Arial" w:hAnsi="Arial" w:cs="宋体"/>
      <w:b/>
      <w:bCs/>
      <w:kern w:val="0"/>
      <w:sz w:val="20"/>
      <w:szCs w:val="24"/>
      <w:lang w:eastAsia="en-US"/>
    </w:rPr>
  </w:style>
  <w:style w:type="paragraph" w:customStyle="1" w:styleId="1167">
    <w:name w:val="Bullet List 1"/>
    <w:basedOn w:val="1"/>
    <w:qFormat/>
    <w:uiPriority w:val="0"/>
    <w:pPr>
      <w:widowControl/>
      <w:numPr>
        <w:ilvl w:val="0"/>
        <w:numId w:val="18"/>
      </w:numPr>
      <w:spacing w:before="80" w:line="240" w:lineRule="auto"/>
    </w:pPr>
    <w:rPr>
      <w:kern w:val="0"/>
      <w:szCs w:val="24"/>
      <w:lang w:eastAsia="en-US"/>
    </w:rPr>
  </w:style>
  <w:style w:type="paragraph" w:customStyle="1" w:styleId="1168">
    <w:name w:val="Char1 Char Char Char Char Char Char Char"/>
    <w:basedOn w:val="1"/>
    <w:qFormat/>
    <w:uiPriority w:val="0"/>
    <w:pPr>
      <w:spacing w:line="240" w:lineRule="auto"/>
    </w:pPr>
    <w:rPr>
      <w:rFonts w:ascii="Tahoma" w:hAnsi="Tahoma"/>
    </w:rPr>
  </w:style>
  <w:style w:type="character" w:customStyle="1" w:styleId="1169">
    <w:name w:val="chinese1"/>
    <w:qFormat/>
    <w:uiPriority w:val="0"/>
    <w:rPr>
      <w:rFonts w:hint="default" w:ascii="Arial" w:hAnsi="Arial" w:cs="Arial"/>
      <w:sz w:val="20"/>
      <w:szCs w:val="20"/>
    </w:rPr>
  </w:style>
  <w:style w:type="character" w:customStyle="1" w:styleId="1170">
    <w:name w:val="english1"/>
    <w:qFormat/>
    <w:uiPriority w:val="0"/>
    <w:rPr>
      <w:rFonts w:hint="default" w:ascii="Times New Roman" w:hAnsi="Times New Roman" w:cs="Times New Roman"/>
      <w:color w:val="990000"/>
      <w:sz w:val="20"/>
      <w:szCs w:val="20"/>
    </w:rPr>
  </w:style>
  <w:style w:type="paragraph" w:customStyle="1" w:styleId="1171">
    <w:name w:val="其他"/>
    <w:basedOn w:val="21"/>
    <w:qFormat/>
    <w:uiPriority w:val="0"/>
    <w:pPr>
      <w:adjustRightInd w:val="0"/>
      <w:snapToGrid w:val="0"/>
      <w:spacing w:line="300" w:lineRule="auto"/>
      <w:ind w:firstLine="567"/>
      <w:jc w:val="right"/>
    </w:pPr>
    <w:rPr>
      <w:rFonts w:ascii="宋体" w:eastAsia="宋体"/>
      <w:sz w:val="28"/>
    </w:rPr>
  </w:style>
  <w:style w:type="paragraph" w:customStyle="1" w:styleId="1172">
    <w:name w:val="555"/>
    <w:link w:val="1173"/>
    <w:qFormat/>
    <w:uiPriority w:val="0"/>
    <w:pPr>
      <w:tabs>
        <w:tab w:val="left" w:pos="297"/>
      </w:tabs>
      <w:spacing w:line="360" w:lineRule="auto"/>
      <w:ind w:left="709" w:firstLine="200" w:firstLineChars="200"/>
    </w:pPr>
    <w:rPr>
      <w:rFonts w:ascii="Times New Roman" w:hAnsi="Times New Roman" w:eastAsia="宋体" w:cs="Times New Roman"/>
      <w:kern w:val="2"/>
      <w:sz w:val="28"/>
      <w:szCs w:val="28"/>
      <w:lang w:val="en-US" w:eastAsia="zh-CN" w:bidi="ar-SA"/>
    </w:rPr>
  </w:style>
  <w:style w:type="character" w:customStyle="1" w:styleId="1173">
    <w:name w:val="555 Char"/>
    <w:link w:val="1172"/>
    <w:qFormat/>
    <w:uiPriority w:val="0"/>
    <w:rPr>
      <w:kern w:val="2"/>
      <w:sz w:val="28"/>
      <w:szCs w:val="28"/>
      <w:lang w:val="en-US" w:eastAsia="zh-CN" w:bidi="ar-SA"/>
    </w:rPr>
  </w:style>
  <w:style w:type="table" w:customStyle="1" w:styleId="1174">
    <w:name w:val="0000"/>
    <w:basedOn w:val="87"/>
    <w:qFormat/>
    <w:uiPriority w:val="0"/>
    <w:pPr>
      <w:spacing w:line="240" w:lineRule="exact"/>
      <w:jc w:val="center"/>
    </w:pPr>
    <w:rPr>
      <w:rFonts w:ascii="宋体"/>
      <w:sz w:val="21"/>
      <w:szCs w:val="21"/>
    </w:rPr>
    <w:tblPr>
      <w:tblBorders>
        <w:top w:val="single" w:color="99CCFF" w:sz="8" w:space="0"/>
        <w:left w:val="single" w:color="99CCFF" w:sz="8" w:space="0"/>
        <w:bottom w:val="single" w:color="99CCFF" w:sz="8" w:space="0"/>
        <w:right w:val="single" w:color="99CCFF" w:sz="8" w:space="0"/>
        <w:insideH w:val="single" w:color="99CCFF" w:sz="8" w:space="0"/>
        <w:insideV w:val="single" w:color="99CCFF" w:sz="8" w:space="0"/>
      </w:tblBorders>
      <w:tblCellMar>
        <w:top w:w="0" w:type="dxa"/>
        <w:left w:w="108" w:type="dxa"/>
        <w:bottom w:w="0" w:type="dxa"/>
        <w:right w:w="108" w:type="dxa"/>
      </w:tblCellMar>
    </w:tblPr>
    <w:tcPr>
      <w:vAlign w:val="center"/>
    </w:tcPr>
    <w:tblStylePr w:type="firstRow">
      <w:rPr>
        <w:rFonts w:eastAsia="宋体"/>
        <w:sz w:val="21"/>
      </w:rPr>
      <w:tcPr>
        <w:tcBorders>
          <w:top w:val="single" w:color="99CCFF" w:sz="8" w:space="0"/>
          <w:left w:val="single" w:color="99CCFF" w:sz="8" w:space="0"/>
          <w:bottom w:val="single" w:color="99CCFF" w:sz="8" w:space="0"/>
          <w:right w:val="single" w:color="99CCFF" w:sz="8" w:space="0"/>
          <w:insideH w:val="single" w:sz="8" w:space="0"/>
          <w:insideV w:val="single" w:sz="8" w:space="0"/>
          <w:tl2br w:val="nil"/>
          <w:tr2bl w:val="nil"/>
        </w:tcBorders>
        <w:shd w:val="clear" w:color="auto" w:fill="E0F0EB"/>
      </w:tcPr>
    </w:tblStylePr>
  </w:style>
  <w:style w:type="character" w:customStyle="1" w:styleId="1175">
    <w:name w:val="t31"/>
    <w:qFormat/>
    <w:uiPriority w:val="0"/>
    <w:rPr>
      <w:color w:val="000000"/>
      <w:sz w:val="18"/>
      <w:szCs w:val="18"/>
      <w:u w:val="none"/>
    </w:rPr>
  </w:style>
  <w:style w:type="character" w:customStyle="1" w:styleId="1176">
    <w:name w:val="Char Char19"/>
    <w:qFormat/>
    <w:uiPriority w:val="0"/>
    <w:rPr>
      <w:rFonts w:ascii="宋体" w:hAnsi="宋体" w:eastAsia="黑体"/>
      <w:b/>
      <w:spacing w:val="6"/>
      <w:kern w:val="2"/>
      <w:sz w:val="44"/>
      <w:lang w:val="en-US" w:eastAsia="zh-CN"/>
    </w:rPr>
  </w:style>
  <w:style w:type="character" w:customStyle="1" w:styleId="1177">
    <w:name w:val="Char Char31"/>
    <w:qFormat/>
    <w:uiPriority w:val="0"/>
    <w:rPr>
      <w:rFonts w:ascii="宋体" w:hAnsi="宋体" w:eastAsia="黑体"/>
      <w:b/>
      <w:kern w:val="44"/>
      <w:sz w:val="44"/>
      <w:lang w:val="en-US" w:eastAsia="zh-CN"/>
    </w:rPr>
  </w:style>
  <w:style w:type="character" w:customStyle="1" w:styleId="1178">
    <w:name w:val="Char Char21"/>
    <w:link w:val="494"/>
    <w:qFormat/>
    <w:uiPriority w:val="0"/>
    <w:rPr>
      <w:rFonts w:ascii="仿宋_GB2312" w:eastAsia="仿宋_GB2312"/>
      <w:b/>
      <w:kern w:val="2"/>
      <w:sz w:val="32"/>
      <w:lang w:val="en-US" w:eastAsia="zh-CN" w:bidi="ar-SA"/>
    </w:rPr>
  </w:style>
  <w:style w:type="paragraph" w:customStyle="1" w:styleId="1179">
    <w:name w:val="Char Char1 Char Char1"/>
    <w:basedOn w:val="1"/>
    <w:qFormat/>
    <w:uiPriority w:val="0"/>
    <w:pPr>
      <w:keepNext/>
      <w:keepLines/>
      <w:widowControl/>
      <w:ind w:firstLine="200" w:firstLineChars="200"/>
    </w:pPr>
    <w:rPr>
      <w:rFonts w:ascii="Tahoma" w:hAnsi="Tahoma"/>
    </w:rPr>
  </w:style>
  <w:style w:type="paragraph" w:customStyle="1" w:styleId="1180">
    <w:name w:val="Char Char Char Char Char Char1 Char Char Char Char1"/>
    <w:basedOn w:val="26"/>
    <w:qFormat/>
    <w:uiPriority w:val="0"/>
    <w:pPr>
      <w:adjustRightInd w:val="0"/>
      <w:spacing w:line="436" w:lineRule="exact"/>
      <w:ind w:left="357"/>
      <w:outlineLvl w:val="3"/>
    </w:pPr>
    <w:rPr>
      <w:rFonts w:ascii="Tahoma" w:hAnsi="Tahoma"/>
      <w:b/>
    </w:rPr>
  </w:style>
  <w:style w:type="paragraph" w:customStyle="1" w:styleId="1181">
    <w:name w:val="Char Char Char Char Char Char Char Char Char Char2"/>
    <w:basedOn w:val="1"/>
    <w:qFormat/>
    <w:uiPriority w:val="0"/>
    <w:pPr>
      <w:spacing w:line="240" w:lineRule="auto"/>
    </w:pPr>
    <w:rPr>
      <w:rFonts w:ascii="Tahoma" w:hAnsi="Tahoma"/>
    </w:rPr>
  </w:style>
  <w:style w:type="paragraph" w:customStyle="1" w:styleId="1182">
    <w:name w:val="Char Char Char Char Char2"/>
    <w:basedOn w:val="1"/>
    <w:qFormat/>
    <w:uiPriority w:val="0"/>
    <w:pPr>
      <w:spacing w:line="240" w:lineRule="auto"/>
    </w:pPr>
    <w:rPr>
      <w:rFonts w:ascii="Tahoma" w:hAnsi="Tahoma"/>
    </w:rPr>
  </w:style>
  <w:style w:type="paragraph" w:customStyle="1" w:styleId="1183">
    <w:name w:val="正文31"/>
    <w:qFormat/>
    <w:uiPriority w:val="0"/>
    <w:pPr>
      <w:widowControl w:val="0"/>
      <w:adjustRightInd w:val="0"/>
      <w:spacing w:line="312" w:lineRule="atLeast"/>
      <w:ind w:left="709" w:hanging="482"/>
      <w:jc w:val="both"/>
      <w:textAlignment w:val="baseline"/>
    </w:pPr>
    <w:rPr>
      <w:rFonts w:ascii="宋体" w:hAnsi="Times New Roman" w:eastAsia="宋体" w:cs="Times New Roman"/>
      <w:sz w:val="34"/>
      <w:lang w:val="en-US" w:eastAsia="zh-CN" w:bidi="ar-SA"/>
    </w:rPr>
  </w:style>
  <w:style w:type="paragraph" w:customStyle="1" w:styleId="1184">
    <w:name w:val="Char Char Char11"/>
    <w:basedOn w:val="1"/>
    <w:qFormat/>
    <w:uiPriority w:val="0"/>
    <w:pPr>
      <w:spacing w:line="240" w:lineRule="auto"/>
    </w:pPr>
    <w:rPr>
      <w:rFonts w:ascii="Tahoma" w:hAnsi="Tahoma"/>
    </w:rPr>
  </w:style>
  <w:style w:type="paragraph" w:customStyle="1" w:styleId="1185">
    <w:name w:val="Char Char Char2"/>
    <w:basedOn w:val="26"/>
    <w:qFormat/>
    <w:uiPriority w:val="0"/>
    <w:pPr>
      <w:adjustRightInd w:val="0"/>
      <w:spacing w:line="436" w:lineRule="exact"/>
      <w:ind w:left="357"/>
      <w:outlineLvl w:val="3"/>
    </w:pPr>
    <w:rPr>
      <w:rFonts w:ascii="Tahoma" w:hAnsi="Tahoma"/>
      <w:b/>
    </w:rPr>
  </w:style>
  <w:style w:type="paragraph" w:customStyle="1" w:styleId="1186">
    <w:name w:val="字元 字元 Char Char Char 字元 字元1"/>
    <w:basedOn w:val="26"/>
    <w:qFormat/>
    <w:uiPriority w:val="0"/>
    <w:pPr>
      <w:adjustRightInd w:val="0"/>
      <w:spacing w:line="436" w:lineRule="exact"/>
      <w:ind w:left="357"/>
      <w:outlineLvl w:val="3"/>
    </w:pPr>
    <w:rPr>
      <w:rFonts w:ascii="Tahoma" w:hAnsi="Tahoma"/>
      <w:b/>
    </w:rPr>
  </w:style>
  <w:style w:type="paragraph" w:customStyle="1" w:styleId="1187">
    <w:name w:val="Char Char Char Char1 Char Char Char Char Char Char Char Char1"/>
    <w:basedOn w:val="1"/>
    <w:qFormat/>
    <w:uiPriority w:val="0"/>
    <w:pPr>
      <w:spacing w:line="240" w:lineRule="auto"/>
    </w:pPr>
    <w:rPr>
      <w:rFonts w:ascii="Tahoma" w:hAnsi="Tahoma" w:eastAsia="仿宋_GB2312"/>
      <w:b/>
    </w:rPr>
  </w:style>
  <w:style w:type="character" w:customStyle="1" w:styleId="1188">
    <w:name w:val="Table left cn Char"/>
    <w:link w:val="1189"/>
    <w:qFormat/>
    <w:locked/>
    <w:uiPriority w:val="0"/>
    <w:rPr>
      <w:rFonts w:ascii="宋体" w:hAnsi="Arial"/>
      <w:kern w:val="2"/>
      <w:sz w:val="18"/>
      <w:szCs w:val="21"/>
      <w:lang w:bidi="ar-SA"/>
    </w:rPr>
  </w:style>
  <w:style w:type="paragraph" w:customStyle="1" w:styleId="1189">
    <w:name w:val="Table left cn"/>
    <w:basedOn w:val="1"/>
    <w:link w:val="1188"/>
    <w:qFormat/>
    <w:uiPriority w:val="0"/>
    <w:pPr>
      <w:adjustRightInd w:val="0"/>
      <w:snapToGrid w:val="0"/>
      <w:spacing w:before="20" w:after="20" w:line="240" w:lineRule="auto"/>
      <w:ind w:left="23" w:right="23"/>
    </w:pPr>
    <w:rPr>
      <w:rFonts w:ascii="宋体" w:hAnsi="Arial"/>
      <w:sz w:val="18"/>
      <w:szCs w:val="21"/>
      <w:lang w:val="zh-CN"/>
    </w:rPr>
  </w:style>
  <w:style w:type="character" w:customStyle="1" w:styleId="1190">
    <w:name w:val="Table left en Char"/>
    <w:link w:val="1191"/>
    <w:qFormat/>
    <w:locked/>
    <w:uiPriority w:val="0"/>
    <w:rPr>
      <w:rFonts w:ascii="Arial" w:hAnsi="Arial"/>
      <w:kern w:val="2"/>
      <w:sz w:val="16"/>
      <w:szCs w:val="21"/>
      <w:lang w:bidi="ar-SA"/>
    </w:rPr>
  </w:style>
  <w:style w:type="paragraph" w:customStyle="1" w:styleId="1191">
    <w:name w:val="Table left en"/>
    <w:basedOn w:val="1"/>
    <w:link w:val="1190"/>
    <w:qFormat/>
    <w:uiPriority w:val="0"/>
    <w:pPr>
      <w:adjustRightInd w:val="0"/>
      <w:snapToGrid w:val="0"/>
      <w:spacing w:line="240" w:lineRule="auto"/>
    </w:pPr>
    <w:rPr>
      <w:rFonts w:ascii="Arial" w:hAnsi="Arial"/>
      <w:sz w:val="16"/>
      <w:szCs w:val="21"/>
      <w:lang w:val="zh-CN"/>
    </w:rPr>
  </w:style>
  <w:style w:type="character" w:customStyle="1" w:styleId="1192">
    <w:name w:val="Char Char91"/>
    <w:qFormat/>
    <w:uiPriority w:val="0"/>
    <w:rPr>
      <w:rFonts w:eastAsia="宋体"/>
      <w:kern w:val="2"/>
      <w:sz w:val="24"/>
      <w:lang w:val="en-US" w:eastAsia="zh-CN" w:bidi="ar-SA"/>
    </w:rPr>
  </w:style>
  <w:style w:type="paragraph" w:customStyle="1" w:styleId="1193">
    <w:name w:val="Char Char Char1 Char Char Char Char Char Char Char Char Char Char Char Char Char Char Char Char Char Char Char Char Char Char Char Char Char Char Char Char Char Char Char1"/>
    <w:basedOn w:val="1"/>
    <w:qFormat/>
    <w:uiPriority w:val="0"/>
    <w:pPr>
      <w:spacing w:line="240" w:lineRule="auto"/>
    </w:pPr>
    <w:rPr>
      <w:rFonts w:ascii="Tahoma" w:hAnsi="Tahoma"/>
    </w:rPr>
  </w:style>
  <w:style w:type="paragraph" w:customStyle="1" w:styleId="1194">
    <w:name w:val="Char Char Char1 Char Char Char Char Char Char Char Char Char Char Char Char Char Char Char Char Char Char Char Char Char1"/>
    <w:basedOn w:val="1"/>
    <w:qFormat/>
    <w:uiPriority w:val="0"/>
    <w:pPr>
      <w:spacing w:line="240" w:lineRule="auto"/>
    </w:pPr>
    <w:rPr>
      <w:rFonts w:ascii="Tahoma" w:hAnsi="Tahoma"/>
    </w:rPr>
  </w:style>
  <w:style w:type="paragraph" w:customStyle="1" w:styleId="1195">
    <w:name w:val="Char Char Char1 Char Char Char Char Char Char Char Char Char Char Char Char Char Char Char Char Char Char Char Char Char Char Char Char1 Char Char Char1"/>
    <w:basedOn w:val="1"/>
    <w:qFormat/>
    <w:uiPriority w:val="0"/>
    <w:pPr>
      <w:spacing w:line="240" w:lineRule="auto"/>
    </w:pPr>
    <w:rPr>
      <w:rFonts w:ascii="Tahoma" w:hAnsi="Tahoma"/>
    </w:rPr>
  </w:style>
  <w:style w:type="paragraph" w:customStyle="1" w:styleId="1196">
    <w:name w:val="纯文本11"/>
    <w:basedOn w:val="1"/>
    <w:qFormat/>
    <w:uiPriority w:val="0"/>
    <w:pPr>
      <w:adjustRightInd w:val="0"/>
      <w:spacing w:line="312" w:lineRule="atLeast"/>
    </w:pPr>
    <w:rPr>
      <w:rFonts w:ascii="宋体" w:hAnsi="Courier New"/>
      <w:kern w:val="0"/>
      <w:sz w:val="28"/>
    </w:rPr>
  </w:style>
  <w:style w:type="paragraph" w:customStyle="1" w:styleId="1197">
    <w:name w:val="Char Char Char1 Char Char Char Char Char Char Char Char Char Char Char Char Char Char Char Char1"/>
    <w:basedOn w:val="1"/>
    <w:qFormat/>
    <w:uiPriority w:val="0"/>
    <w:pPr>
      <w:spacing w:line="240" w:lineRule="auto"/>
    </w:pPr>
    <w:rPr>
      <w:rFonts w:ascii="Tahoma" w:hAnsi="Tahoma"/>
    </w:rPr>
  </w:style>
  <w:style w:type="paragraph" w:customStyle="1" w:styleId="1198">
    <w:name w:val="Char Char Char Char Char Char Char1"/>
    <w:basedOn w:val="1"/>
    <w:qFormat/>
    <w:uiPriority w:val="0"/>
    <w:pPr>
      <w:widowControl/>
      <w:spacing w:after="160" w:line="240" w:lineRule="exact"/>
    </w:pPr>
    <w:rPr>
      <w:rFonts w:ascii="Verdana" w:hAnsi="Verdana" w:eastAsia="仿宋_GB2312"/>
      <w:kern w:val="0"/>
      <w:sz w:val="30"/>
      <w:szCs w:val="30"/>
      <w:lang w:eastAsia="en-US"/>
    </w:rPr>
  </w:style>
  <w:style w:type="paragraph" w:customStyle="1" w:styleId="1199">
    <w:name w:val="Char Char Char1 Char Char Char Char1"/>
    <w:basedOn w:val="1"/>
    <w:qFormat/>
    <w:uiPriority w:val="0"/>
    <w:pPr>
      <w:spacing w:line="240" w:lineRule="auto"/>
    </w:pPr>
    <w:rPr>
      <w:rFonts w:ascii="Tahoma" w:hAnsi="Tahoma" w:cs="仿宋_GB2312"/>
    </w:rPr>
  </w:style>
  <w:style w:type="paragraph" w:customStyle="1" w:styleId="1200">
    <w:name w:val="Char Char2 Char Char Char Char11"/>
    <w:basedOn w:val="1"/>
    <w:qFormat/>
    <w:uiPriority w:val="0"/>
    <w:pPr>
      <w:spacing w:line="240" w:lineRule="auto"/>
    </w:pPr>
    <w:rPr>
      <w:rFonts w:ascii="Tahoma" w:hAnsi="Tahoma" w:cs="仿宋_GB2312"/>
    </w:rPr>
  </w:style>
  <w:style w:type="character" w:customStyle="1" w:styleId="1201">
    <w:name w:val="style161"/>
    <w:qFormat/>
    <w:uiPriority w:val="0"/>
    <w:rPr>
      <w:color w:val="000000"/>
    </w:rPr>
  </w:style>
  <w:style w:type="character" w:customStyle="1" w:styleId="1202">
    <w:name w:val="font12-blue-bold1"/>
    <w:qFormat/>
    <w:uiPriority w:val="0"/>
    <w:rPr>
      <w:b/>
      <w:color w:val="0249A5"/>
      <w:sz w:val="14"/>
      <w:u w:val="none"/>
    </w:rPr>
  </w:style>
  <w:style w:type="character" w:customStyle="1" w:styleId="1203">
    <w:name w:val="L7 Char1"/>
    <w:qFormat/>
    <w:uiPriority w:val="0"/>
    <w:rPr>
      <w:rFonts w:ascii="Arial" w:hAnsi="Arial" w:eastAsia="黑体"/>
      <w:kern w:val="2"/>
      <w:sz w:val="24"/>
      <w:lang w:val="en-US" w:eastAsia="zh-CN" w:bidi="ar-SA"/>
    </w:rPr>
  </w:style>
  <w:style w:type="character" w:customStyle="1" w:styleId="1204">
    <w:name w:val="第七层条 Char"/>
    <w:qFormat/>
    <w:uiPriority w:val="0"/>
    <w:rPr>
      <w:rFonts w:ascii="Arial" w:hAnsi="Arial" w:eastAsia="黑体"/>
      <w:kern w:val="2"/>
      <w:sz w:val="24"/>
      <w:lang w:val="en-US" w:eastAsia="zh-CN" w:bidi="ar-SA"/>
    </w:rPr>
  </w:style>
  <w:style w:type="character" w:customStyle="1" w:styleId="1205">
    <w:name w:val="正文文字缩进 3 Char Char"/>
    <w:qFormat/>
    <w:uiPriority w:val="0"/>
    <w:rPr>
      <w:rFonts w:eastAsia="宋体"/>
      <w:kern w:val="2"/>
      <w:sz w:val="24"/>
      <w:lang w:val="en-US" w:eastAsia="zh-CN" w:bidi="ar-SA"/>
    </w:rPr>
  </w:style>
  <w:style w:type="character" w:customStyle="1" w:styleId="1206">
    <w:name w:val="Char Char20"/>
    <w:qFormat/>
    <w:uiPriority w:val="0"/>
    <w:rPr>
      <w:rFonts w:eastAsia="宋体"/>
      <w:b/>
      <w:kern w:val="2"/>
      <w:sz w:val="24"/>
      <w:lang w:val="en-US" w:eastAsia="zh-CN" w:bidi="ar-SA"/>
    </w:rPr>
  </w:style>
  <w:style w:type="character" w:customStyle="1" w:styleId="1207">
    <w:name w:val="Plain Text Char Char Char Char Char Char Char Char Char Char Char Char Char Char Char Char"/>
    <w:qFormat/>
    <w:uiPriority w:val="0"/>
    <w:rPr>
      <w:rFonts w:ascii="宋体" w:hAnsi="Courier New" w:eastAsia="宋体"/>
      <w:kern w:val="2"/>
      <w:sz w:val="21"/>
      <w:lang w:val="en-US" w:eastAsia="zh-CN" w:bidi="ar-SA"/>
    </w:rPr>
  </w:style>
  <w:style w:type="paragraph" w:customStyle="1" w:styleId="1208">
    <w:name w:val="图片表格"/>
    <w:basedOn w:val="73"/>
    <w:link w:val="1209"/>
    <w:qFormat/>
    <w:uiPriority w:val="0"/>
    <w:pPr>
      <w:ind w:left="0" w:leftChars="0" w:firstLine="0" w:firstLineChars="0"/>
      <w:jc w:val="center"/>
    </w:pPr>
    <w:rPr>
      <w:sz w:val="21"/>
      <w:szCs w:val="22"/>
    </w:rPr>
  </w:style>
  <w:style w:type="character" w:customStyle="1" w:styleId="1209">
    <w:name w:val="图片表格 Char"/>
    <w:link w:val="1208"/>
    <w:qFormat/>
    <w:uiPriority w:val="0"/>
    <w:rPr>
      <w:rFonts w:eastAsia="宋体"/>
      <w:kern w:val="2"/>
      <w:sz w:val="21"/>
      <w:szCs w:val="22"/>
      <w:lang w:val="en-US" w:eastAsia="zh-CN" w:bidi="ar-SA"/>
    </w:rPr>
  </w:style>
  <w:style w:type="paragraph" w:customStyle="1" w:styleId="1210">
    <w:name w:val="Char1 Char Char Char Char Char Char1"/>
    <w:basedOn w:val="1"/>
    <w:qFormat/>
    <w:uiPriority w:val="0"/>
    <w:pPr>
      <w:ind w:firstLine="200" w:firstLineChars="200"/>
    </w:pPr>
    <w:rPr>
      <w:rFonts w:ascii="宋体" w:hAnsi="宋体" w:cs="宋体"/>
      <w:szCs w:val="24"/>
    </w:rPr>
  </w:style>
  <w:style w:type="paragraph" w:customStyle="1" w:styleId="1211">
    <w:name w:val="Report Level 2"/>
    <w:basedOn w:val="1020"/>
    <w:next w:val="1"/>
    <w:qFormat/>
    <w:uiPriority w:val="0"/>
    <w:pPr>
      <w:outlineLvl w:val="1"/>
    </w:pPr>
    <w:rPr>
      <w:caps w:val="0"/>
    </w:rPr>
  </w:style>
  <w:style w:type="paragraph" w:customStyle="1" w:styleId="1212">
    <w:name w:val="Report Level 3"/>
    <w:basedOn w:val="1020"/>
    <w:next w:val="1"/>
    <w:qFormat/>
    <w:uiPriority w:val="0"/>
    <w:pPr>
      <w:spacing w:before="120"/>
      <w:outlineLvl w:val="2"/>
    </w:pPr>
    <w:rPr>
      <w:caps w:val="0"/>
      <w:sz w:val="20"/>
    </w:rPr>
  </w:style>
  <w:style w:type="paragraph" w:customStyle="1" w:styleId="1213">
    <w:name w:val="Report Level 4"/>
    <w:basedOn w:val="1212"/>
    <w:next w:val="1"/>
    <w:qFormat/>
    <w:uiPriority w:val="0"/>
    <w:pPr>
      <w:tabs>
        <w:tab w:val="left" w:pos="2160"/>
        <w:tab w:val="clear" w:pos="1080"/>
      </w:tabs>
      <w:ind w:left="2160"/>
      <w:outlineLvl w:val="3"/>
    </w:pPr>
    <w:rPr>
      <w:rFonts w:ascii="Times New Roman" w:hAnsi="Times New Roman"/>
    </w:rPr>
  </w:style>
  <w:style w:type="character" w:customStyle="1" w:styleId="1214">
    <w:name w:val="main14"/>
    <w:basedOn w:val="92"/>
    <w:qFormat/>
    <w:uiPriority w:val="0"/>
  </w:style>
  <w:style w:type="paragraph" w:customStyle="1" w:styleId="1215">
    <w:name w:val="Char Char22"/>
    <w:basedOn w:val="1"/>
    <w:qFormat/>
    <w:uiPriority w:val="0"/>
    <w:pPr>
      <w:ind w:firstLine="200" w:firstLineChars="200"/>
    </w:pPr>
    <w:rPr>
      <w:rFonts w:ascii="宋体" w:hAnsi="宋体" w:cs="宋体"/>
      <w:szCs w:val="24"/>
    </w:rPr>
  </w:style>
  <w:style w:type="paragraph" w:customStyle="1" w:styleId="1216">
    <w:name w:val="Char Char22 Char Char"/>
    <w:basedOn w:val="1"/>
    <w:qFormat/>
    <w:uiPriority w:val="0"/>
    <w:pPr>
      <w:ind w:firstLine="200" w:firstLineChars="200"/>
    </w:pPr>
    <w:rPr>
      <w:rFonts w:ascii="宋体" w:hAnsi="宋体" w:cs="宋体"/>
      <w:szCs w:val="24"/>
    </w:rPr>
  </w:style>
  <w:style w:type="paragraph" w:customStyle="1" w:styleId="1217">
    <w:name w:val="Char Char22 Char Char Char Char"/>
    <w:basedOn w:val="1"/>
    <w:qFormat/>
    <w:uiPriority w:val="0"/>
    <w:pPr>
      <w:ind w:firstLine="200" w:firstLineChars="200"/>
    </w:pPr>
    <w:rPr>
      <w:rFonts w:ascii="宋体" w:hAnsi="宋体" w:cs="宋体"/>
      <w:szCs w:val="24"/>
    </w:rPr>
  </w:style>
  <w:style w:type="paragraph" w:customStyle="1" w:styleId="1218">
    <w:name w:val="style3"/>
    <w:basedOn w:val="1"/>
    <w:qFormat/>
    <w:uiPriority w:val="0"/>
    <w:pPr>
      <w:widowControl/>
      <w:spacing w:before="100" w:beforeAutospacing="1" w:after="100" w:afterAutospacing="1"/>
    </w:pPr>
    <w:rPr>
      <w:rFonts w:ascii="宋体" w:hAnsi="宋体"/>
      <w:kern w:val="0"/>
      <w:sz w:val="21"/>
      <w:szCs w:val="21"/>
    </w:rPr>
  </w:style>
  <w:style w:type="paragraph" w:customStyle="1" w:styleId="1219">
    <w:name w:val="引文目录标题1"/>
    <w:basedOn w:val="1"/>
    <w:next w:val="1"/>
    <w:qFormat/>
    <w:uiPriority w:val="0"/>
    <w:pPr>
      <w:spacing w:before="120" w:line="240" w:lineRule="auto"/>
    </w:pPr>
    <w:rPr>
      <w:rFonts w:ascii="Arial"/>
      <w:kern w:val="0"/>
      <w:u w:color="000000"/>
    </w:rPr>
  </w:style>
  <w:style w:type="paragraph" w:customStyle="1" w:styleId="1220">
    <w:name w:val="样式26"/>
    <w:basedOn w:val="5"/>
    <w:link w:val="1222"/>
    <w:qFormat/>
    <w:uiPriority w:val="0"/>
    <w:pPr>
      <w:tabs>
        <w:tab w:val="left" w:pos="840"/>
      </w:tabs>
      <w:ind w:left="0" w:firstLine="0"/>
    </w:pPr>
    <w:rPr>
      <w:bCs w:val="0"/>
    </w:rPr>
  </w:style>
  <w:style w:type="paragraph" w:customStyle="1" w:styleId="1221">
    <w:name w:val="样式27"/>
    <w:basedOn w:val="6"/>
    <w:link w:val="1224"/>
    <w:qFormat/>
    <w:uiPriority w:val="0"/>
    <w:pPr>
      <w:numPr>
        <w:numId w:val="2"/>
      </w:numPr>
    </w:pPr>
    <w:rPr>
      <w:bCs/>
      <w:szCs w:val="32"/>
    </w:rPr>
  </w:style>
  <w:style w:type="character" w:customStyle="1" w:styleId="1222">
    <w:name w:val="样式26 Char"/>
    <w:link w:val="1220"/>
    <w:qFormat/>
    <w:uiPriority w:val="0"/>
    <w:rPr>
      <w:color w:val="000000"/>
      <w:kern w:val="2"/>
      <w:sz w:val="21"/>
      <w:szCs w:val="32"/>
      <w:lang w:val="zh-CN" w:eastAsia="zh-CN"/>
    </w:rPr>
  </w:style>
  <w:style w:type="paragraph" w:customStyle="1" w:styleId="1223">
    <w:name w:val="Char2 Char Char Char Char Char Char1"/>
    <w:basedOn w:val="1"/>
    <w:qFormat/>
    <w:uiPriority w:val="0"/>
    <w:pPr>
      <w:widowControl/>
      <w:snapToGrid w:val="0"/>
      <w:spacing w:after="160" w:line="240" w:lineRule="exact"/>
      <w:ind w:left="0" w:firstLine="0"/>
    </w:pPr>
    <w:rPr>
      <w:rFonts w:ascii="Verdana" w:hAnsi="Verdana"/>
      <w:snapToGrid w:val="0"/>
      <w:kern w:val="0"/>
      <w:sz w:val="20"/>
      <w:szCs w:val="24"/>
      <w:lang w:eastAsia="en-US"/>
    </w:rPr>
  </w:style>
  <w:style w:type="character" w:customStyle="1" w:styleId="1224">
    <w:name w:val="样式27 Char"/>
    <w:link w:val="1221"/>
    <w:qFormat/>
    <w:uiPriority w:val="0"/>
    <w:rPr>
      <w:bCs/>
      <w:kern w:val="2"/>
      <w:sz w:val="21"/>
      <w:szCs w:val="32"/>
      <w:lang w:val="zh-CN" w:eastAsia="zh-CN"/>
    </w:rPr>
  </w:style>
  <w:style w:type="paragraph" w:customStyle="1" w:styleId="1225">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1226">
    <w:name w:val="默认段落字体 Para Char Char Char Char Char Char Char Char Char2"/>
    <w:basedOn w:val="1"/>
    <w:qFormat/>
    <w:uiPriority w:val="0"/>
    <w:pPr>
      <w:spacing w:line="240" w:lineRule="auto"/>
      <w:ind w:left="0" w:firstLine="0"/>
      <w:jc w:val="both"/>
    </w:pPr>
    <w:rPr>
      <w:rFonts w:ascii="Tahoma" w:hAnsi="Tahoma"/>
    </w:rPr>
  </w:style>
  <w:style w:type="table" w:customStyle="1" w:styleId="1227">
    <w:name w:val="Table"/>
    <w:basedOn w:val="88"/>
    <w:qFormat/>
    <w:uiPriority w:val="0"/>
    <w:pPr>
      <w:snapToGrid w:val="0"/>
      <w:jc w:val="left"/>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rPr>
      <w:cantSplit/>
    </w:trPr>
    <w:tcPr>
      <w:vAlign w:val="center"/>
    </w:tcPr>
    <w:tblStylePr w:type="firstRow">
      <w:pPr>
        <w:wordWrap/>
        <w:ind w:left="0" w:leftChars="0"/>
      </w:pPr>
      <w:tcPr>
        <w:tcBorders>
          <w:top w:val="single" w:color="auto" w:sz="4" w:space="0"/>
          <w:left w:val="single" w:color="auto" w:sz="4" w:space="0"/>
          <w:bottom w:val="single" w:color="auto" w:sz="4" w:space="0"/>
          <w:right w:val="single" w:color="auto" w:sz="4" w:space="0"/>
          <w:insideH w:val="single" w:sz="4" w:space="0"/>
          <w:insideV w:val="single" w:sz="4" w:space="0"/>
          <w:tl2br w:val="nil"/>
          <w:tr2bl w:val="nil"/>
        </w:tcBorders>
        <w:shd w:val="clear" w:color="auto" w:fill="D9D9D9"/>
      </w:tcPr>
    </w:tblStylePr>
  </w:style>
  <w:style w:type="paragraph" w:customStyle="1" w:styleId="1228">
    <w:name w:val="Item List in Table"/>
    <w:qFormat/>
    <w:uiPriority w:val="0"/>
    <w:pPr>
      <w:numPr>
        <w:ilvl w:val="0"/>
        <w:numId w:val="19"/>
      </w:numPr>
      <w:spacing w:before="40" w:after="40"/>
      <w:jc w:val="both"/>
    </w:pPr>
    <w:rPr>
      <w:rFonts w:ascii="Arial" w:hAnsi="Arial" w:eastAsia="宋体" w:cs="Arial"/>
      <w:sz w:val="18"/>
      <w:szCs w:val="18"/>
      <w:lang w:val="en-US" w:eastAsia="zh-CN" w:bidi="ar-SA"/>
    </w:rPr>
  </w:style>
  <w:style w:type="character" w:customStyle="1" w:styleId="1229">
    <w:name w:val="Table Text Char"/>
    <w:link w:val="247"/>
    <w:qFormat/>
    <w:uiPriority w:val="0"/>
    <w:rPr>
      <w:rFonts w:ascii="Arial" w:hAnsi="Arial"/>
      <w:sz w:val="18"/>
      <w:lang w:bidi="ar-SA"/>
    </w:rPr>
  </w:style>
  <w:style w:type="paragraph" w:customStyle="1" w:styleId="1230">
    <w:name w:val="技术报告正文"/>
    <w:basedOn w:val="1"/>
    <w:qFormat/>
    <w:uiPriority w:val="0"/>
    <w:pPr>
      <w:spacing w:before="120" w:beforeLines="50" w:line="440" w:lineRule="exact"/>
      <w:ind w:left="0" w:firstLine="538" w:firstLineChars="192"/>
      <w:jc w:val="both"/>
    </w:pPr>
    <w:rPr>
      <w:rFonts w:cs="Arial"/>
      <w:bCs/>
      <w:sz w:val="28"/>
      <w:szCs w:val="24"/>
    </w:rPr>
  </w:style>
  <w:style w:type="paragraph" w:customStyle="1" w:styleId="1231">
    <w:name w:val="列表1"/>
    <w:basedOn w:val="1"/>
    <w:qFormat/>
    <w:uiPriority w:val="0"/>
    <w:pPr>
      <w:widowControl/>
      <w:tabs>
        <w:tab w:val="left" w:pos="432"/>
      </w:tabs>
      <w:spacing w:before="120" w:after="120" w:line="240" w:lineRule="auto"/>
      <w:ind w:left="432" w:hanging="432"/>
      <w:jc w:val="both"/>
    </w:pPr>
    <w:rPr>
      <w:rFonts w:ascii="宋体" w:hAnsi="宋体"/>
      <w:kern w:val="0"/>
      <w:szCs w:val="24"/>
      <w:lang w:eastAsia="en-US"/>
    </w:rPr>
  </w:style>
  <w:style w:type="paragraph" w:customStyle="1" w:styleId="1232">
    <w:name w:val="3305051"/>
    <w:basedOn w:val="1"/>
    <w:qFormat/>
    <w:uiPriority w:val="0"/>
    <w:pPr>
      <w:widowControl/>
      <w:spacing w:before="100" w:beforeAutospacing="1" w:after="100" w:afterAutospacing="1" w:line="240" w:lineRule="auto"/>
      <w:ind w:left="0" w:firstLine="0"/>
    </w:pPr>
    <w:rPr>
      <w:rFonts w:ascii="Arial Unicode MS" w:hAnsi="Arial Unicode MS" w:eastAsia="Arial Unicode MS" w:cs="Arial Unicode MS"/>
      <w:kern w:val="0"/>
      <w:szCs w:val="24"/>
    </w:rPr>
  </w:style>
  <w:style w:type="paragraph" w:customStyle="1" w:styleId="1233">
    <w:name w:val="表标题(小)"/>
    <w:basedOn w:val="1"/>
    <w:next w:val="35"/>
    <w:qFormat/>
    <w:uiPriority w:val="0"/>
    <w:pPr>
      <w:keepNext/>
      <w:ind w:left="0" w:firstLine="0"/>
      <w:jc w:val="center"/>
      <w:outlineLvl w:val="8"/>
    </w:pPr>
    <w:rPr>
      <w:rFonts w:ascii="宋体"/>
      <w:sz w:val="18"/>
      <w:szCs w:val="18"/>
    </w:rPr>
  </w:style>
  <w:style w:type="paragraph" w:customStyle="1" w:styleId="1234">
    <w:name w:val="总1"/>
    <w:basedOn w:val="1"/>
    <w:qFormat/>
    <w:uiPriority w:val="0"/>
    <w:pPr>
      <w:widowControl/>
      <w:ind w:left="0" w:firstLine="0"/>
    </w:pPr>
    <w:rPr>
      <w:rFonts w:ascii="宋体"/>
      <w:b/>
      <w:bCs/>
      <w:kern w:val="0"/>
    </w:rPr>
  </w:style>
  <w:style w:type="paragraph" w:customStyle="1" w:styleId="1235">
    <w:name w:val="小"/>
    <w:basedOn w:val="1"/>
    <w:next w:val="45"/>
    <w:qFormat/>
    <w:uiPriority w:val="0"/>
    <w:pPr>
      <w:spacing w:line="240" w:lineRule="auto"/>
      <w:ind w:left="0" w:firstLine="0"/>
      <w:jc w:val="both"/>
    </w:pPr>
    <w:rPr>
      <w:rFonts w:ascii="宋体" w:hAnsi="Courier New"/>
      <w:sz w:val="21"/>
    </w:rPr>
  </w:style>
  <w:style w:type="paragraph" w:customStyle="1" w:styleId="1236">
    <w:name w:val="二级条标题"/>
    <w:basedOn w:val="1"/>
    <w:next w:val="1"/>
    <w:qFormat/>
    <w:uiPriority w:val="0"/>
    <w:pPr>
      <w:widowControl/>
      <w:numPr>
        <w:ilvl w:val="3"/>
        <w:numId w:val="20"/>
      </w:numPr>
      <w:spacing w:line="240" w:lineRule="auto"/>
      <w:jc w:val="both"/>
      <w:outlineLvl w:val="3"/>
    </w:pPr>
    <w:rPr>
      <w:rFonts w:ascii="黑体" w:eastAsia="黑体"/>
      <w:kern w:val="0"/>
      <w:sz w:val="21"/>
    </w:rPr>
  </w:style>
  <w:style w:type="paragraph" w:customStyle="1" w:styleId="1237">
    <w:name w:val="TAC"/>
    <w:basedOn w:val="1"/>
    <w:qFormat/>
    <w:uiPriority w:val="0"/>
    <w:pPr>
      <w:keepNext/>
      <w:keepLines/>
      <w:widowControl/>
      <w:spacing w:line="240" w:lineRule="auto"/>
      <w:ind w:left="0" w:firstLine="0"/>
      <w:jc w:val="center"/>
    </w:pPr>
    <w:rPr>
      <w:rFonts w:ascii="Arial" w:hAnsi="Arial"/>
      <w:kern w:val="0"/>
      <w:sz w:val="18"/>
      <w:lang w:val="en-GB"/>
    </w:rPr>
  </w:style>
  <w:style w:type="paragraph" w:customStyle="1" w:styleId="1238">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239">
    <w:name w:val="总2"/>
    <w:basedOn w:val="1"/>
    <w:qFormat/>
    <w:uiPriority w:val="0"/>
    <w:pPr>
      <w:widowControl/>
      <w:ind w:left="0" w:firstLine="0"/>
    </w:pPr>
    <w:rPr>
      <w:rFonts w:ascii="宋体"/>
      <w:b/>
      <w:bCs/>
      <w:kern w:val="0"/>
      <w:sz w:val="21"/>
    </w:rPr>
  </w:style>
  <w:style w:type="character" w:customStyle="1" w:styleId="1240">
    <w:name w:val="spantable1"/>
    <w:qFormat/>
    <w:uiPriority w:val="0"/>
    <w:rPr>
      <w:rFonts w:hint="default"/>
      <w:sz w:val="18"/>
      <w:szCs w:val="18"/>
    </w:rPr>
  </w:style>
  <w:style w:type="character" w:customStyle="1" w:styleId="1241">
    <w:name w:val="point_normal"/>
    <w:qFormat/>
    <w:uiPriority w:val="0"/>
  </w:style>
  <w:style w:type="paragraph" w:customStyle="1" w:styleId="1242">
    <w:name w:val="Char Char Char Char1"/>
    <w:basedOn w:val="1"/>
    <w:qFormat/>
    <w:uiPriority w:val="0"/>
    <w:pPr>
      <w:spacing w:line="240" w:lineRule="auto"/>
      <w:ind w:left="0" w:firstLine="0"/>
      <w:jc w:val="both"/>
    </w:pPr>
    <w:rPr>
      <w:rFonts w:ascii="仿宋_GB2312" w:eastAsia="仿宋_GB2312"/>
      <w:b/>
      <w:sz w:val="32"/>
      <w:szCs w:val="32"/>
    </w:rPr>
  </w:style>
  <w:style w:type="paragraph" w:customStyle="1" w:styleId="1243">
    <w:name w:val="样式 宋体 小四 加粗 行距: 1.5 倍行距2"/>
    <w:basedOn w:val="7"/>
    <w:next w:val="1"/>
    <w:qFormat/>
    <w:uiPriority w:val="0"/>
    <w:pPr>
      <w:widowControl/>
      <w:numPr>
        <w:ilvl w:val="1"/>
        <w:numId w:val="21"/>
      </w:numPr>
      <w:spacing w:before="120" w:beforeLines="50" w:after="120" w:afterLines="50" w:line="240" w:lineRule="auto"/>
      <w:ind w:left="839" w:hanging="839"/>
      <w:outlineLvl w:val="2"/>
    </w:pPr>
    <w:rPr>
      <w:rFonts w:cs="宋体"/>
      <w:b/>
      <w:kern w:val="0"/>
      <w:lang w:val="en-US"/>
    </w:rPr>
  </w:style>
  <w:style w:type="paragraph" w:customStyle="1" w:styleId="1244">
    <w:name w:val="标题 2 FS"/>
    <w:basedOn w:val="4"/>
    <w:qFormat/>
    <w:uiPriority w:val="0"/>
    <w:pPr>
      <w:keepLines w:val="0"/>
      <w:widowControl w:val="0"/>
      <w:numPr>
        <w:numId w:val="22"/>
      </w:numPr>
      <w:tabs>
        <w:tab w:val="left" w:pos="0"/>
        <w:tab w:val="left" w:pos="210"/>
      </w:tabs>
      <w:autoSpaceDE w:val="0"/>
      <w:autoSpaceDN w:val="0"/>
      <w:spacing w:before="50" w:beforeLines="50" w:after="50" w:afterLines="50"/>
    </w:pPr>
    <w:rPr>
      <w:bCs w:val="0"/>
      <w:sz w:val="28"/>
      <w:szCs w:val="28"/>
    </w:rPr>
  </w:style>
  <w:style w:type="paragraph" w:customStyle="1" w:styleId="1245">
    <w:name w:val="标题 1 FS"/>
    <w:basedOn w:val="3"/>
    <w:qFormat/>
    <w:uiPriority w:val="0"/>
    <w:pPr>
      <w:keepNext w:val="0"/>
      <w:keepLines w:val="0"/>
      <w:numPr>
        <w:numId w:val="22"/>
      </w:numPr>
      <w:autoSpaceDN w:val="0"/>
      <w:adjustRightInd w:val="0"/>
      <w:snapToGrid w:val="0"/>
      <w:spacing w:before="50" w:beforeLines="50" w:after="50" w:afterLines="50"/>
    </w:pPr>
    <w:rPr>
      <w:rFonts w:ascii="Times New Roman" w:hAnsi="Times New Roman" w:eastAsia="宋体"/>
      <w:b/>
      <w:kern w:val="0"/>
      <w:szCs w:val="28"/>
      <w:lang w:val="en-US"/>
    </w:rPr>
  </w:style>
  <w:style w:type="paragraph" w:customStyle="1" w:styleId="1246">
    <w:name w:val="样式 标题 3 FS + 段前: 0.5 行 段后: 0.5 行"/>
    <w:basedOn w:val="1"/>
    <w:qFormat/>
    <w:uiPriority w:val="0"/>
    <w:pPr>
      <w:keepNext/>
      <w:keepLines/>
      <w:numPr>
        <w:ilvl w:val="2"/>
        <w:numId w:val="22"/>
      </w:numPr>
      <w:adjustRightInd w:val="0"/>
      <w:snapToGrid w:val="0"/>
      <w:spacing w:before="156" w:beforeLines="50" w:after="156" w:afterLines="50"/>
      <w:jc w:val="both"/>
      <w:outlineLvl w:val="2"/>
    </w:pPr>
    <w:rPr>
      <w:rFonts w:cs="宋体"/>
      <w:sz w:val="28"/>
    </w:rPr>
  </w:style>
  <w:style w:type="paragraph" w:customStyle="1" w:styleId="1247">
    <w:name w:val="标题 4 FS"/>
    <w:basedOn w:val="6"/>
    <w:qFormat/>
    <w:uiPriority w:val="0"/>
    <w:pPr>
      <w:keepNext/>
      <w:widowControl w:val="0"/>
      <w:numPr>
        <w:numId w:val="22"/>
      </w:numPr>
      <w:tabs>
        <w:tab w:val="left" w:pos="0"/>
      </w:tabs>
      <w:adjustRightInd/>
      <w:snapToGrid/>
      <w:jc w:val="both"/>
    </w:pPr>
    <w:rPr>
      <w:rFonts w:ascii="Arial" w:hAnsi="Arial" w:cs="宋体"/>
      <w:sz w:val="24"/>
      <w:szCs w:val="20"/>
      <w:lang w:val="en-US"/>
    </w:rPr>
  </w:style>
  <w:style w:type="character" w:customStyle="1" w:styleId="1248">
    <w:name w:val="sh141"/>
    <w:qFormat/>
    <w:uiPriority w:val="0"/>
    <w:rPr>
      <w:color w:val="2B2B2B"/>
      <w:sz w:val="19"/>
    </w:rPr>
  </w:style>
  <w:style w:type="character" w:customStyle="1" w:styleId="1249">
    <w:name w:val="Body Char Char"/>
    <w:qFormat/>
    <w:uiPriority w:val="0"/>
    <w:rPr>
      <w:rFonts w:eastAsia="宋体"/>
      <w:kern w:val="2"/>
      <w:sz w:val="21"/>
      <w:lang w:val="en-US" w:eastAsia="zh-CN"/>
    </w:rPr>
  </w:style>
  <w:style w:type="character" w:customStyle="1" w:styleId="1250">
    <w:name w:val="图形布置 Char"/>
    <w:link w:val="1251"/>
    <w:qFormat/>
    <w:uiPriority w:val="0"/>
    <w:rPr>
      <w:sz w:val="21"/>
    </w:rPr>
  </w:style>
  <w:style w:type="paragraph" w:customStyle="1" w:styleId="1251">
    <w:name w:val="图形布置"/>
    <w:basedOn w:val="1"/>
    <w:link w:val="1250"/>
    <w:qFormat/>
    <w:uiPriority w:val="0"/>
    <w:pPr>
      <w:widowControl/>
      <w:spacing w:line="240" w:lineRule="auto"/>
      <w:ind w:left="0" w:firstLine="0"/>
      <w:jc w:val="center"/>
    </w:pPr>
    <w:rPr>
      <w:kern w:val="0"/>
      <w:sz w:val="21"/>
      <w:lang w:val="zh-CN"/>
    </w:rPr>
  </w:style>
  <w:style w:type="character" w:customStyle="1" w:styleId="1252">
    <w:name w:val="1 Char"/>
    <w:qFormat/>
    <w:uiPriority w:val="0"/>
    <w:rPr>
      <w:rFonts w:ascii="宋体" w:hAnsi="宋体" w:eastAsia="宋体"/>
      <w:b/>
      <w:sz w:val="28"/>
      <w:lang w:val="en-US" w:eastAsia="zh-CN" w:bidi="ar-SA"/>
    </w:rPr>
  </w:style>
  <w:style w:type="character" w:customStyle="1" w:styleId="1253">
    <w:name w:val="样式4 Char"/>
    <w:link w:val="457"/>
    <w:qFormat/>
    <w:uiPriority w:val="0"/>
    <w:rPr>
      <w:rFonts w:eastAsia="仿宋_GB2312"/>
      <w:b/>
      <w:kern w:val="28"/>
      <w:sz w:val="28"/>
    </w:rPr>
  </w:style>
  <w:style w:type="character" w:customStyle="1" w:styleId="1254">
    <w:name w:val="hui3"/>
    <w:qFormat/>
    <w:uiPriority w:val="0"/>
    <w:rPr>
      <w:color w:val="333333"/>
    </w:rPr>
  </w:style>
  <w:style w:type="character" w:customStyle="1" w:styleId="1255">
    <w:name w:val="列表框1 Char Char"/>
    <w:link w:val="766"/>
    <w:qFormat/>
    <w:uiPriority w:val="0"/>
    <w:rPr>
      <w:rFonts w:ascii="宋体" w:hAnsi="宋体"/>
      <w:sz w:val="21"/>
      <w:lang w:val="zh-CN" w:eastAsia="zh-CN"/>
    </w:rPr>
  </w:style>
  <w:style w:type="character" w:customStyle="1" w:styleId="1256">
    <w:name w:val="HTML 预设格式 Char"/>
    <w:link w:val="80"/>
    <w:qFormat/>
    <w:uiPriority w:val="0"/>
    <w:rPr>
      <w:rFonts w:ascii="Courier New" w:hAnsi="Courier New"/>
      <w:kern w:val="2"/>
    </w:rPr>
  </w:style>
  <w:style w:type="character" w:customStyle="1" w:styleId="1257">
    <w:name w:val="style311"/>
    <w:qFormat/>
    <w:uiPriority w:val="0"/>
    <w:rPr>
      <w:sz w:val="21"/>
    </w:rPr>
  </w:style>
  <w:style w:type="character" w:customStyle="1" w:styleId="1258">
    <w:name w:val="param_td12"/>
    <w:qFormat/>
    <w:uiPriority w:val="0"/>
  </w:style>
  <w:style w:type="character" w:customStyle="1" w:styleId="1259">
    <w:name w:val="content1"/>
    <w:qFormat/>
    <w:uiPriority w:val="0"/>
    <w:rPr>
      <w:rFonts w:hint="default" w:ascii="ˎ̥" w:hAnsi="ˎ̥"/>
      <w:color w:val="000000"/>
      <w:sz w:val="18"/>
      <w:u w:val="none"/>
    </w:rPr>
  </w:style>
  <w:style w:type="character" w:customStyle="1" w:styleId="1260">
    <w:name w:val="Bullet Char"/>
    <w:link w:val="1261"/>
    <w:qFormat/>
    <w:uiPriority w:val="0"/>
    <w:rPr>
      <w:rFonts w:ascii="宋体" w:hAnsi="宋体"/>
      <w:kern w:val="2"/>
      <w:sz w:val="21"/>
    </w:rPr>
  </w:style>
  <w:style w:type="paragraph" w:customStyle="1" w:styleId="1261">
    <w:name w:val="Bullet"/>
    <w:basedOn w:val="1"/>
    <w:link w:val="1260"/>
    <w:qFormat/>
    <w:uiPriority w:val="0"/>
    <w:pPr>
      <w:widowControl/>
      <w:tabs>
        <w:tab w:val="left" w:pos="420"/>
        <w:tab w:val="left" w:pos="2520"/>
      </w:tabs>
      <w:adjustRightInd w:val="0"/>
      <w:spacing w:before="60" w:after="60" w:line="288" w:lineRule="auto"/>
      <w:ind w:left="2520" w:hanging="420"/>
      <w:jc w:val="both"/>
    </w:pPr>
    <w:rPr>
      <w:rFonts w:ascii="宋体" w:hAnsi="宋体"/>
      <w:sz w:val="21"/>
      <w:lang w:val="zh-CN"/>
    </w:rPr>
  </w:style>
  <w:style w:type="character" w:customStyle="1" w:styleId="1262">
    <w:name w:val="font-121"/>
    <w:qFormat/>
    <w:uiPriority w:val="0"/>
    <w:rPr>
      <w:color w:val="666666"/>
      <w:sz w:val="18"/>
      <w:u w:val="none"/>
    </w:rPr>
  </w:style>
  <w:style w:type="character" w:customStyle="1" w:styleId="1263">
    <w:name w:val="内容文本 Char Char"/>
    <w:link w:val="1264"/>
    <w:qFormat/>
    <w:uiPriority w:val="0"/>
    <w:rPr>
      <w:rFonts w:ascii="楷体_GB2312" w:hAnsi="宋体" w:eastAsia="楷体_GB2312"/>
      <w:color w:val="000000"/>
      <w:spacing w:val="10"/>
      <w:sz w:val="21"/>
    </w:rPr>
  </w:style>
  <w:style w:type="paragraph" w:customStyle="1" w:styleId="1264">
    <w:name w:val="内容文本"/>
    <w:basedOn w:val="1"/>
    <w:link w:val="1263"/>
    <w:qFormat/>
    <w:uiPriority w:val="0"/>
    <w:pPr>
      <w:widowControl/>
      <w:tabs>
        <w:tab w:val="left" w:pos="1050"/>
        <w:tab w:val="left" w:pos="2625"/>
      </w:tabs>
      <w:adjustRightInd w:val="0"/>
      <w:snapToGrid w:val="0"/>
      <w:ind w:left="960" w:leftChars="400" w:firstLine="345" w:firstLineChars="150"/>
      <w:jc w:val="both"/>
    </w:pPr>
    <w:rPr>
      <w:rFonts w:ascii="楷体_GB2312" w:hAnsi="宋体" w:eastAsia="楷体_GB2312"/>
      <w:color w:val="000000"/>
      <w:spacing w:val="10"/>
      <w:kern w:val="0"/>
      <w:sz w:val="21"/>
      <w:lang w:val="zh-CN"/>
    </w:rPr>
  </w:style>
  <w:style w:type="paragraph" w:customStyle="1" w:styleId="1265">
    <w:name w:val="五级条标题"/>
    <w:basedOn w:val="1266"/>
    <w:next w:val="1"/>
    <w:qFormat/>
    <w:uiPriority w:val="0"/>
    <w:pPr>
      <w:tabs>
        <w:tab w:val="left" w:pos="1008"/>
        <w:tab w:val="left" w:pos="1152"/>
        <w:tab w:val="left" w:pos="1296"/>
        <w:tab w:val="left" w:pos="2100"/>
      </w:tabs>
      <w:ind w:left="1296" w:hanging="1296"/>
      <w:outlineLvl w:val="6"/>
    </w:pPr>
  </w:style>
  <w:style w:type="paragraph" w:customStyle="1" w:styleId="1266">
    <w:name w:val="四级条标题"/>
    <w:basedOn w:val="1267"/>
    <w:next w:val="1"/>
    <w:qFormat/>
    <w:uiPriority w:val="0"/>
    <w:pPr>
      <w:tabs>
        <w:tab w:val="left" w:pos="1008"/>
        <w:tab w:val="left" w:pos="1152"/>
        <w:tab w:val="left" w:pos="2100"/>
      </w:tabs>
      <w:ind w:left="1152" w:hanging="1152"/>
      <w:outlineLvl w:val="5"/>
    </w:pPr>
  </w:style>
  <w:style w:type="paragraph" w:customStyle="1" w:styleId="1267">
    <w:name w:val="三级条标题"/>
    <w:basedOn w:val="1236"/>
    <w:next w:val="1"/>
    <w:qFormat/>
    <w:uiPriority w:val="0"/>
    <w:pPr>
      <w:numPr>
        <w:ilvl w:val="0"/>
        <w:numId w:val="0"/>
      </w:numPr>
      <w:tabs>
        <w:tab w:val="left" w:pos="1008"/>
      </w:tabs>
      <w:ind w:left="1008" w:hanging="1008"/>
      <w:outlineLvl w:val="4"/>
    </w:pPr>
  </w:style>
  <w:style w:type="paragraph" w:customStyle="1" w:styleId="1268">
    <w:name w:val="一级条标题"/>
    <w:basedOn w:val="1113"/>
    <w:next w:val="1"/>
    <w:qFormat/>
    <w:uiPriority w:val="0"/>
    <w:pPr>
      <w:tabs>
        <w:tab w:val="left" w:pos="420"/>
        <w:tab w:val="clear" w:pos="840"/>
      </w:tabs>
      <w:spacing w:before="0" w:beforeLines="0" w:after="0" w:afterLines="0" w:line="240" w:lineRule="auto"/>
      <w:ind w:left="0" w:firstLine="0"/>
      <w:outlineLvl w:val="2"/>
    </w:pPr>
  </w:style>
  <w:style w:type="paragraph" w:customStyle="1" w:styleId="1269">
    <w:name w:val="前言、引言标题"/>
    <w:next w:val="1"/>
    <w:qFormat/>
    <w:uiPriority w:val="0"/>
    <w:pPr>
      <w:shd w:val="clear" w:color="FFFFFF" w:fill="FFFFFF"/>
      <w:tabs>
        <w:tab w:val="left" w:pos="432"/>
      </w:tabs>
      <w:spacing w:before="640" w:after="560"/>
      <w:ind w:left="432" w:hanging="432"/>
      <w:jc w:val="center"/>
      <w:outlineLvl w:val="0"/>
    </w:pPr>
    <w:rPr>
      <w:rFonts w:ascii="黑体" w:hAnsi="Times New Roman" w:eastAsia="黑体" w:cs="Times New Roman"/>
      <w:sz w:val="32"/>
      <w:lang w:val="en-US" w:eastAsia="zh-CN" w:bidi="ar-SA"/>
    </w:rPr>
  </w:style>
  <w:style w:type="paragraph" w:customStyle="1" w:styleId="1270">
    <w:name w:val="样式标题4"/>
    <w:basedOn w:val="6"/>
    <w:next w:val="6"/>
    <w:qFormat/>
    <w:uiPriority w:val="0"/>
    <w:pPr>
      <w:keepLines w:val="0"/>
      <w:widowControl w:val="0"/>
      <w:numPr>
        <w:ilvl w:val="0"/>
        <w:numId w:val="0"/>
      </w:numPr>
      <w:tabs>
        <w:tab w:val="left" w:pos="180"/>
        <w:tab w:val="left" w:pos="1276"/>
      </w:tabs>
      <w:spacing w:before="312" w:beforeLines="100" w:line="240" w:lineRule="auto"/>
      <w:ind w:left="1276" w:hanging="425"/>
      <w:textAlignment w:val="center"/>
    </w:pPr>
    <w:rPr>
      <w:rFonts w:ascii="宋体" w:hAnsi="宋体"/>
      <w:b/>
      <w:snapToGrid w:val="0"/>
      <w:kern w:val="0"/>
      <w:sz w:val="32"/>
      <w:szCs w:val="20"/>
      <w:lang w:val="en-US"/>
    </w:rPr>
  </w:style>
  <w:style w:type="paragraph" w:customStyle="1" w:styleId="1271">
    <w:name w:val="tabletext"/>
    <w:basedOn w:val="1"/>
    <w:qFormat/>
    <w:uiPriority w:val="0"/>
    <w:pPr>
      <w:widowControl/>
      <w:spacing w:before="100" w:beforeAutospacing="1" w:after="100" w:afterAutospacing="1" w:line="240" w:lineRule="auto"/>
      <w:ind w:left="0" w:firstLine="0"/>
    </w:pPr>
    <w:rPr>
      <w:rFonts w:ascii="宋体" w:hAnsi="宋体"/>
      <w:kern w:val="0"/>
      <w:sz w:val="21"/>
    </w:rPr>
  </w:style>
  <w:style w:type="paragraph" w:customStyle="1" w:styleId="1272">
    <w:name w:val="表格文字小 (居中)"/>
    <w:basedOn w:val="1"/>
    <w:qFormat/>
    <w:uiPriority w:val="0"/>
    <w:pPr>
      <w:adjustRightInd w:val="0"/>
      <w:spacing w:line="240" w:lineRule="atLeast"/>
      <w:ind w:left="0" w:firstLine="0"/>
      <w:jc w:val="center"/>
      <w:textAlignment w:val="baseline"/>
    </w:pPr>
    <w:rPr>
      <w:rFonts w:ascii="宋体"/>
      <w:sz w:val="18"/>
    </w:rPr>
  </w:style>
  <w:style w:type="paragraph" w:customStyle="1" w:styleId="1273">
    <w:name w:val="默认段落字体 Para Char Char Char Char Char Char Char Char Char Char Char Char Char Char Char Char"/>
    <w:basedOn w:val="1"/>
    <w:qFormat/>
    <w:uiPriority w:val="0"/>
    <w:pPr>
      <w:spacing w:line="240" w:lineRule="auto"/>
      <w:ind w:left="0" w:firstLine="0"/>
      <w:jc w:val="both"/>
    </w:pPr>
    <w:rPr>
      <w:rFonts w:ascii="Tahoma" w:hAnsi="Tahoma"/>
      <w:sz w:val="21"/>
    </w:rPr>
  </w:style>
  <w:style w:type="paragraph" w:customStyle="1" w:styleId="1274">
    <w:name w:val="Char Char21 Char Char Char Char Char Char"/>
    <w:basedOn w:val="1"/>
    <w:qFormat/>
    <w:uiPriority w:val="0"/>
    <w:pPr>
      <w:ind w:left="0" w:firstLine="200" w:firstLineChars="200"/>
      <w:jc w:val="both"/>
    </w:pPr>
    <w:rPr>
      <w:rFonts w:ascii="宋体" w:hAnsi="宋体" w:cs="宋体"/>
      <w:sz w:val="21"/>
      <w:szCs w:val="24"/>
    </w:rPr>
  </w:style>
  <w:style w:type="paragraph" w:customStyle="1" w:styleId="1275">
    <w:name w:val="说明书 正文"/>
    <w:basedOn w:val="1"/>
    <w:link w:val="1276"/>
    <w:unhideWhenUsed/>
    <w:qFormat/>
    <w:uiPriority w:val="0"/>
    <w:pPr>
      <w:adjustRightInd w:val="0"/>
      <w:snapToGrid w:val="0"/>
      <w:spacing w:line="460" w:lineRule="exact"/>
      <w:ind w:left="0" w:firstLine="200" w:firstLineChars="200"/>
    </w:pPr>
    <w:rPr>
      <w:rFonts w:ascii="宋体" w:hAnsi="宋体"/>
      <w:lang w:val="zh-CN"/>
    </w:rPr>
  </w:style>
  <w:style w:type="character" w:customStyle="1" w:styleId="1276">
    <w:name w:val="说明书 正文 Char"/>
    <w:link w:val="1275"/>
    <w:qFormat/>
    <w:uiPriority w:val="0"/>
    <w:rPr>
      <w:rFonts w:ascii="宋体" w:hAnsi="宋体"/>
      <w:kern w:val="2"/>
      <w:sz w:val="24"/>
      <w:lang w:val="zh-CN" w:eastAsia="zh-CN"/>
    </w:rPr>
  </w:style>
  <w:style w:type="paragraph" w:customStyle="1" w:styleId="1277">
    <w:name w:val="lei样式2"/>
    <w:basedOn w:val="1"/>
    <w:semiHidden/>
    <w:unhideWhenUsed/>
    <w:qFormat/>
    <w:uiPriority w:val="0"/>
    <w:pPr>
      <w:numPr>
        <w:ilvl w:val="1"/>
        <w:numId w:val="23"/>
      </w:numPr>
      <w:spacing w:line="400" w:lineRule="exact"/>
      <w:ind w:firstLine="200" w:firstLineChars="200"/>
    </w:pPr>
    <w:rPr>
      <w:sz w:val="21"/>
      <w:szCs w:val="24"/>
    </w:rPr>
  </w:style>
  <w:style w:type="paragraph" w:customStyle="1" w:styleId="1278">
    <w:name w:val="样式 文件1.1 + 段前: 1 行 段后: 0.5 行"/>
    <w:basedOn w:val="1"/>
    <w:semiHidden/>
    <w:qFormat/>
    <w:uiPriority w:val="0"/>
    <w:pPr>
      <w:numPr>
        <w:ilvl w:val="3"/>
        <w:numId w:val="24"/>
      </w:numPr>
      <w:spacing w:afterLines="50" w:line="240" w:lineRule="auto"/>
      <w:jc w:val="both"/>
    </w:pPr>
    <w:rPr>
      <w:sz w:val="21"/>
      <w:szCs w:val="24"/>
    </w:rPr>
  </w:style>
  <w:style w:type="paragraph" w:customStyle="1" w:styleId="1279">
    <w:name w:val="Item Step in Table"/>
    <w:semiHidden/>
    <w:qFormat/>
    <w:uiPriority w:val="0"/>
    <w:pPr>
      <w:numPr>
        <w:ilvl w:val="0"/>
        <w:numId w:val="25"/>
      </w:numPr>
      <w:spacing w:before="40" w:after="40"/>
      <w:jc w:val="both"/>
    </w:pPr>
    <w:rPr>
      <w:rFonts w:ascii="Arial" w:hAnsi="Arial" w:eastAsia="宋体" w:cs="Arial"/>
      <w:sz w:val="18"/>
      <w:szCs w:val="18"/>
      <w:lang w:val="en-US" w:eastAsia="zh-CN" w:bidi="ar-SA"/>
    </w:rPr>
  </w:style>
  <w:style w:type="paragraph" w:customStyle="1" w:styleId="1280">
    <w:name w:val="样式 宋体 小四 加粗 左 行距: 1.5 倍行距"/>
    <w:basedOn w:val="1"/>
    <w:next w:val="1"/>
    <w:qFormat/>
    <w:uiPriority w:val="0"/>
    <w:pPr>
      <w:spacing w:before="120" w:beforeLines="50" w:after="120" w:afterLines="50"/>
      <w:ind w:left="0"/>
    </w:pPr>
    <w:rPr>
      <w:rFonts w:ascii="宋体" w:hAnsi="宋体" w:cs="宋体"/>
      <w:bCs/>
    </w:rPr>
  </w:style>
  <w:style w:type="paragraph" w:customStyle="1" w:styleId="1281">
    <w:name w:val="Item List"/>
    <w:basedOn w:val="1"/>
    <w:qFormat/>
    <w:uiPriority w:val="0"/>
    <w:pPr>
      <w:widowControl/>
      <w:numPr>
        <w:ilvl w:val="0"/>
        <w:numId w:val="26"/>
      </w:numPr>
      <w:tabs>
        <w:tab w:val="left" w:pos="1620"/>
        <w:tab w:val="clear" w:pos="2041"/>
      </w:tabs>
      <w:spacing w:line="240" w:lineRule="auto"/>
      <w:ind w:left="1616" w:hanging="312"/>
    </w:pPr>
    <w:rPr>
      <w:rFonts w:ascii="Arial" w:hAnsi="Arial" w:cs="宋体"/>
      <w:color w:val="000000"/>
      <w:szCs w:val="21"/>
    </w:rPr>
  </w:style>
  <w:style w:type="character" w:customStyle="1" w:styleId="1282">
    <w:name w:val="投标项目符号2 Char Char"/>
    <w:qFormat/>
    <w:uiPriority w:val="0"/>
    <w:rPr>
      <w:rFonts w:ascii="宋体" w:hAnsi="宋体" w:eastAsia="宋体"/>
      <w:spacing w:val="20"/>
      <w:sz w:val="21"/>
      <w:szCs w:val="24"/>
      <w:lang w:val="en-GB" w:eastAsia="zh-CN" w:bidi="ar-SA"/>
    </w:rPr>
  </w:style>
  <w:style w:type="paragraph" w:customStyle="1" w:styleId="1283">
    <w:name w:val="表格标题"/>
    <w:basedOn w:val="1"/>
    <w:unhideWhenUsed/>
    <w:qFormat/>
    <w:locked/>
    <w:uiPriority w:val="10"/>
    <w:pPr>
      <w:widowControl/>
      <w:adjustRightInd w:val="0"/>
      <w:snapToGrid w:val="0"/>
      <w:spacing w:line="240" w:lineRule="exact"/>
      <w:ind w:left="0" w:firstLine="0"/>
      <w:jc w:val="center"/>
    </w:pPr>
    <w:rPr>
      <w:rFonts w:ascii="宋体" w:hAnsi="宋体" w:cs="宋体"/>
      <w:b/>
      <w:kern w:val="0"/>
      <w:sz w:val="21"/>
      <w:szCs w:val="24"/>
    </w:rPr>
  </w:style>
  <w:style w:type="character" w:customStyle="1" w:styleId="1284">
    <w:name w:val="表格文字 Char"/>
    <w:link w:val="192"/>
    <w:qFormat/>
    <w:uiPriority w:val="0"/>
    <w:rPr>
      <w:kern w:val="2"/>
      <w:sz w:val="21"/>
    </w:rPr>
  </w:style>
  <w:style w:type="paragraph" w:customStyle="1" w:styleId="1285">
    <w:name w:val="Char Char22 Char Char Char Char Char Char Char Char Char Char Char Char Char Char Char Char Char Char Char Char"/>
    <w:basedOn w:val="1"/>
    <w:qFormat/>
    <w:uiPriority w:val="0"/>
    <w:pPr>
      <w:ind w:left="0" w:firstLine="200" w:firstLineChars="200"/>
      <w:jc w:val="both"/>
    </w:pPr>
    <w:rPr>
      <w:rFonts w:ascii="宋体" w:hAnsi="宋体" w:cs="宋体"/>
      <w:szCs w:val="24"/>
    </w:rPr>
  </w:style>
  <w:style w:type="paragraph" w:customStyle="1" w:styleId="1286">
    <w:name w:val="Char Char Char Char Char Char"/>
    <w:basedOn w:val="1"/>
    <w:qFormat/>
    <w:uiPriority w:val="0"/>
    <w:pPr>
      <w:spacing w:line="240" w:lineRule="auto"/>
      <w:ind w:left="0" w:firstLine="0"/>
      <w:jc w:val="both"/>
    </w:pPr>
    <w:rPr>
      <w:rFonts w:ascii="Tahoma" w:hAnsi="Tahoma" w:cs="仿宋_GB2312"/>
    </w:rPr>
  </w:style>
  <w:style w:type="paragraph" w:customStyle="1" w:styleId="1287">
    <w:name w:val="正文111"/>
    <w:basedOn w:val="1"/>
    <w:semiHidden/>
    <w:unhideWhenUsed/>
    <w:qFormat/>
    <w:uiPriority w:val="0"/>
    <w:pPr>
      <w:numPr>
        <w:ilvl w:val="0"/>
        <w:numId w:val="27"/>
      </w:numPr>
      <w:snapToGrid w:val="0"/>
      <w:spacing w:line="500" w:lineRule="exact"/>
      <w:jc w:val="both"/>
    </w:pPr>
    <w:rPr>
      <w:rFonts w:ascii="宋体" w:hAnsi="宋体"/>
    </w:rPr>
  </w:style>
  <w:style w:type="paragraph" w:customStyle="1" w:styleId="1288">
    <w:name w:val="Char Char5 Char Char Char Char"/>
    <w:basedOn w:val="1"/>
    <w:qFormat/>
    <w:uiPriority w:val="0"/>
    <w:pPr>
      <w:spacing w:line="240" w:lineRule="auto"/>
      <w:ind w:left="0" w:firstLine="0"/>
      <w:jc w:val="both"/>
    </w:pPr>
    <w:rPr>
      <w:rFonts w:ascii="Tahoma" w:hAnsi="Tahoma" w:cs="仿宋_GB2312"/>
    </w:rPr>
  </w:style>
  <w:style w:type="paragraph" w:customStyle="1" w:styleId="1289">
    <w:name w:val="图解"/>
    <w:basedOn w:val="1"/>
    <w:next w:val="1"/>
    <w:qFormat/>
    <w:uiPriority w:val="0"/>
    <w:pPr>
      <w:spacing w:before="120" w:after="120" w:line="240" w:lineRule="auto"/>
      <w:ind w:left="0" w:firstLine="0"/>
      <w:jc w:val="center"/>
      <w:textAlignment w:val="center"/>
      <w:outlineLvl w:val="8"/>
    </w:pPr>
    <w:rPr>
      <w:rFonts w:ascii="宋体"/>
      <w:sz w:val="18"/>
      <w:szCs w:val="18"/>
    </w:rPr>
  </w:style>
  <w:style w:type="paragraph" w:customStyle="1" w:styleId="1290">
    <w:name w:val="正文缩进(加粗)"/>
    <w:basedOn w:val="1"/>
    <w:qFormat/>
    <w:uiPriority w:val="0"/>
    <w:pPr>
      <w:adjustRightInd w:val="0"/>
      <w:ind w:left="0" w:firstLine="422" w:firstLineChars="200"/>
      <w:jc w:val="both"/>
      <w:textAlignment w:val="baseline"/>
    </w:pPr>
    <w:rPr>
      <w:rFonts w:ascii="宋体" w:hAnsi="宋体"/>
      <w:b/>
      <w:bCs/>
      <w:sz w:val="21"/>
      <w:szCs w:val="21"/>
    </w:rPr>
  </w:style>
  <w:style w:type="paragraph" w:customStyle="1" w:styleId="1291">
    <w:name w:val="Char Char22 Char Char Char Char Char Char Char Char Char Char Char Char Char Char Char Char Char Char"/>
    <w:basedOn w:val="1"/>
    <w:qFormat/>
    <w:uiPriority w:val="0"/>
    <w:pPr>
      <w:ind w:left="0" w:firstLine="200" w:firstLineChars="200"/>
      <w:jc w:val="both"/>
    </w:pPr>
    <w:rPr>
      <w:rFonts w:ascii="宋体" w:hAnsi="宋体" w:cs="宋体"/>
      <w:szCs w:val="24"/>
    </w:rPr>
  </w:style>
  <w:style w:type="paragraph" w:customStyle="1" w:styleId="1292">
    <w:name w:val="Char Char21 Char Char Char Char Char Char Char Char"/>
    <w:basedOn w:val="1"/>
    <w:qFormat/>
    <w:uiPriority w:val="0"/>
    <w:pPr>
      <w:ind w:left="0" w:firstLine="200" w:firstLineChars="200"/>
      <w:jc w:val="both"/>
    </w:pPr>
    <w:rPr>
      <w:rFonts w:ascii="宋体" w:hAnsi="宋体" w:cs="宋体"/>
      <w:szCs w:val="24"/>
    </w:rPr>
  </w:style>
  <w:style w:type="character" w:customStyle="1" w:styleId="1293">
    <w:name w:val="bold size20 gray1 fontsans"/>
    <w:basedOn w:val="92"/>
    <w:qFormat/>
    <w:uiPriority w:val="0"/>
  </w:style>
  <w:style w:type="character" w:customStyle="1" w:styleId="1294">
    <w:name w:val="article1"/>
    <w:qFormat/>
    <w:uiPriority w:val="0"/>
    <w:rPr>
      <w:sz w:val="22"/>
      <w:szCs w:val="22"/>
    </w:rPr>
  </w:style>
  <w:style w:type="paragraph" w:customStyle="1" w:styleId="1295">
    <w:name w:val="Char1 Char Char1 Char Char Char Char Char Char1 Char"/>
    <w:basedOn w:val="1"/>
    <w:qFormat/>
    <w:uiPriority w:val="0"/>
    <w:pPr>
      <w:tabs>
        <w:tab w:val="left" w:pos="780"/>
      </w:tabs>
      <w:spacing w:line="240" w:lineRule="auto"/>
      <w:ind w:left="780" w:hanging="360"/>
      <w:jc w:val="both"/>
    </w:pPr>
    <w:rPr>
      <w:szCs w:val="24"/>
    </w:rPr>
  </w:style>
  <w:style w:type="character" w:customStyle="1" w:styleId="1296">
    <w:name w:val="title2 style1"/>
    <w:basedOn w:val="92"/>
    <w:qFormat/>
    <w:uiPriority w:val="0"/>
  </w:style>
  <w:style w:type="paragraph" w:customStyle="1" w:styleId="1297">
    <w:name w:val="四号线第四级"/>
    <w:basedOn w:val="1"/>
    <w:qFormat/>
    <w:uiPriority w:val="0"/>
    <w:pPr>
      <w:tabs>
        <w:tab w:val="left" w:pos="600"/>
      </w:tabs>
      <w:spacing w:line="240" w:lineRule="auto"/>
      <w:ind w:left="600" w:hanging="420"/>
      <w:jc w:val="both"/>
    </w:pPr>
    <w:rPr>
      <w:sz w:val="21"/>
      <w:szCs w:val="24"/>
    </w:rPr>
  </w:style>
  <w:style w:type="paragraph" w:customStyle="1" w:styleId="1298">
    <w:name w:val="样式 标题 2Title2H2h22nd levelheading 2Underrubrik1prop2PIM2..."/>
    <w:basedOn w:val="4"/>
    <w:link w:val="1299"/>
    <w:qFormat/>
    <w:uiPriority w:val="0"/>
    <w:pPr>
      <w:keepNext/>
      <w:widowControl w:val="0"/>
      <w:numPr>
        <w:ilvl w:val="0"/>
        <w:numId w:val="0"/>
      </w:numPr>
      <w:adjustRightInd/>
      <w:snapToGrid/>
      <w:spacing w:before="260" w:beforeAutospacing="1" w:after="260" w:afterAutospacing="1" w:line="416" w:lineRule="auto"/>
      <w:jc w:val="both"/>
    </w:pPr>
    <w:rPr>
      <w:rFonts w:ascii="宋体" w:hAnsi="宋体"/>
      <w:b w:val="0"/>
      <w:bCs w:val="0"/>
      <w:color w:val="000000"/>
      <w:szCs w:val="20"/>
    </w:rPr>
  </w:style>
  <w:style w:type="character" w:customStyle="1" w:styleId="1299">
    <w:name w:val="样式 标题 2Title2H2h22nd levelheading 2Underrubrik1prop2PIM2... Char"/>
    <w:link w:val="1298"/>
    <w:qFormat/>
    <w:uiPriority w:val="0"/>
    <w:rPr>
      <w:rFonts w:ascii="宋体" w:hAnsi="宋体"/>
      <w:color w:val="000000"/>
      <w:kern w:val="2"/>
      <w:sz w:val="24"/>
      <w:lang w:val="zh-CN" w:eastAsia="zh-CN"/>
    </w:rPr>
  </w:style>
  <w:style w:type="paragraph" w:customStyle="1" w:styleId="1300">
    <w:name w:val="列表3"/>
    <w:basedOn w:val="1"/>
    <w:next w:val="1"/>
    <w:semiHidden/>
    <w:qFormat/>
    <w:uiPriority w:val="0"/>
    <w:pPr>
      <w:numPr>
        <w:ilvl w:val="0"/>
        <w:numId w:val="28"/>
      </w:numPr>
      <w:spacing w:line="240" w:lineRule="auto"/>
      <w:jc w:val="both"/>
    </w:pPr>
    <w:rPr>
      <w:sz w:val="21"/>
    </w:rPr>
  </w:style>
  <w:style w:type="paragraph" w:customStyle="1" w:styleId="1301">
    <w:name w:val="列出段落11"/>
    <w:basedOn w:val="1"/>
    <w:link w:val="1302"/>
    <w:qFormat/>
    <w:uiPriority w:val="0"/>
    <w:pPr>
      <w:spacing w:line="240" w:lineRule="auto"/>
      <w:ind w:left="0" w:firstLine="420" w:firstLineChars="200"/>
      <w:jc w:val="both"/>
    </w:pPr>
    <w:rPr>
      <w:sz w:val="21"/>
      <w:szCs w:val="24"/>
      <w:lang w:val="zh-CN"/>
    </w:rPr>
  </w:style>
  <w:style w:type="character" w:customStyle="1" w:styleId="1302">
    <w:name w:val="列出段落 Char"/>
    <w:link w:val="1301"/>
    <w:qFormat/>
    <w:locked/>
    <w:uiPriority w:val="0"/>
    <w:rPr>
      <w:kern w:val="2"/>
      <w:sz w:val="21"/>
      <w:szCs w:val="24"/>
    </w:rPr>
  </w:style>
  <w:style w:type="character" w:customStyle="1" w:styleId="1303">
    <w:name w:val="批注文字 字符"/>
    <w:semiHidden/>
    <w:qFormat/>
    <w:uiPriority w:val="99"/>
    <w:rPr>
      <w:rFonts w:ascii="Calibri" w:hAnsi="Calibri" w:eastAsia="宋体" w:cs="Times New Roman"/>
    </w:rPr>
  </w:style>
  <w:style w:type="character" w:customStyle="1" w:styleId="1304">
    <w:name w:val="Unresolved Mention"/>
    <w:semiHidden/>
    <w:unhideWhenUsed/>
    <w:qFormat/>
    <w:uiPriority w:val="99"/>
    <w:rPr>
      <w:color w:val="605E5C"/>
      <w:shd w:val="clear" w:color="auto" w:fill="E1DFDD"/>
    </w:rPr>
  </w:style>
  <w:style w:type="character" w:customStyle="1" w:styleId="1305">
    <w:name w:val="标题 7 字符1"/>
    <w:semiHidden/>
    <w:qFormat/>
    <w:uiPriority w:val="9"/>
    <w:rPr>
      <w:b/>
      <w:sz w:val="24"/>
      <w:szCs w:val="24"/>
    </w:rPr>
  </w:style>
  <w:style w:type="paragraph" w:customStyle="1" w:styleId="1306">
    <w:name w:val="表格文字图表文字  ctrl+q"/>
    <w:basedOn w:val="1"/>
    <w:qFormat/>
    <w:uiPriority w:val="0"/>
    <w:pPr>
      <w:snapToGrid w:val="0"/>
      <w:spacing w:before="20" w:after="20" w:line="240" w:lineRule="auto"/>
      <w:jc w:val="center"/>
    </w:pPr>
    <w:rPr>
      <w:rFonts w:cs="宋体"/>
    </w:rPr>
  </w:style>
  <w:style w:type="paragraph" w:styleId="1307">
    <w:name w:val="List Paragraph"/>
    <w:basedOn w:val="1"/>
    <w:qFormat/>
    <w:uiPriority w:val="0"/>
    <w:pPr>
      <w:spacing w:line="240" w:lineRule="auto"/>
      <w:ind w:left="0" w:firstLine="420" w:firstLineChars="200"/>
      <w:jc w:val="both"/>
    </w:pPr>
    <w:rPr>
      <w:rFonts w:ascii="Calibri" w:hAnsi="Calibri"/>
      <w:sz w:val="21"/>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0" Type="http://schemas.openxmlformats.org/officeDocument/2006/relationships/fontTable" Target="fontTable.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numbering" Target="numbering.xml"/><Relationship Id="rId27" Type="http://schemas.openxmlformats.org/officeDocument/2006/relationships/image" Target="media/image4.png"/><Relationship Id="rId26" Type="http://schemas.openxmlformats.org/officeDocument/2006/relationships/image" Target="media/image3.png"/><Relationship Id="rId25" Type="http://schemas.openxmlformats.org/officeDocument/2006/relationships/image" Target="media/image2.png"/><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56F05F-800B-4E5F-8F96-8DE24F9AA504}">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70</Pages>
  <Words>43333</Words>
  <Characters>45327</Characters>
  <Lines>383</Lines>
  <Paragraphs>107</Paragraphs>
  <TotalTime>0</TotalTime>
  <ScaleCrop>false</ScaleCrop>
  <LinksUpToDate>false</LinksUpToDate>
  <CharactersWithSpaces>45670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2020-03-25T09:22:00Z</dcterms:created>
  <dc:creator>张世铭</dc:creator>
  <cp:lastModifiedBy>大哥沒感情</cp:lastModifiedBy>
  <cp:lastPrinted>2024-05-15T06:52:00Z</cp:lastPrinted>
  <dcterms:modified xsi:type="dcterms:W3CDTF">2024-09-20T11:21:59Z</dcterms:modified>
  <dc:title>南宁市轨道交通1号线</dc:title>
  <cp:revision>276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r8>1032951999</vt:r8>
  </property>
  <property fmtid="{D5CDD505-2E9C-101B-9397-08002B2CF9AE}" pid="3" name="KSOProductBuildVer">
    <vt:lpwstr>2052-12.1.0.18276</vt:lpwstr>
  </property>
  <property fmtid="{D5CDD505-2E9C-101B-9397-08002B2CF9AE}" pid="4" name="ICV">
    <vt:lpwstr>1DCBF2F63F924ED7BF5C1C1A6E7F953D_13</vt:lpwstr>
  </property>
</Properties>
</file>